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F8197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3716C62E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非处方药说明书范本</w:t>
      </w:r>
    </w:p>
    <w:p w14:paraId="04BAED34">
      <w:pPr>
        <w:keepNext/>
        <w:keepLines/>
        <w:spacing w:before="260" w:after="260" w:line="408" w:lineRule="auto"/>
        <w:jc w:val="center"/>
        <w:outlineLvl w:val="1"/>
        <w:rPr>
          <w:rFonts w:ascii="宋体" w:hAnsi="宋体" w:cs="宋体"/>
          <w:b/>
          <w:sz w:val="30"/>
          <w:szCs w:val="20"/>
        </w:rPr>
      </w:pPr>
      <w:r>
        <w:rPr>
          <w:rFonts w:hint="eastAsia" w:ascii="宋体" w:hAnsi="宋体" w:cs="宋体"/>
          <w:b/>
          <w:sz w:val="30"/>
          <w:szCs w:val="20"/>
          <w:lang w:bidi="ar"/>
        </w:rPr>
        <w:t>莲心胶囊说明书</w:t>
      </w:r>
    </w:p>
    <w:p w14:paraId="3CB45569">
      <w:pPr>
        <w:spacing w:line="300" w:lineRule="exact"/>
        <w:jc w:val="center"/>
        <w:rPr>
          <w:rFonts w:ascii="宋体" w:hAnsi="宋体" w:cs="宋体"/>
          <w:b/>
        </w:rPr>
      </w:pPr>
      <w:r>
        <w:rPr>
          <w:rFonts w:hint="eastAsia" w:ascii="宋体" w:hAnsi="宋体" w:cs="宋体"/>
          <w:b/>
          <w:lang w:bidi="ar"/>
        </w:rPr>
        <w:t>请仔细阅读说明书并按说明使用或在药师指导下购买和使用</w:t>
      </w:r>
    </w:p>
    <w:p w14:paraId="1ED5A596">
      <w:pPr>
        <w:spacing w:line="0" w:lineRule="atLeast"/>
        <w:rPr>
          <w:szCs w:val="21"/>
        </w:rPr>
      </w:pPr>
      <w:r>
        <w:rPr>
          <w:szCs w:val="21"/>
          <w:lang w:bidi="ar"/>
        </w:rPr>
        <w:t>[</w:t>
      </w:r>
      <w:r>
        <w:rPr>
          <w:rFonts w:hint="eastAsia" w:cs="宋体"/>
          <w:szCs w:val="21"/>
          <w:lang w:bidi="ar"/>
        </w:rPr>
        <w:t>药品名称</w:t>
      </w:r>
      <w:r>
        <w:rPr>
          <w:szCs w:val="21"/>
          <w:lang w:bidi="ar"/>
        </w:rPr>
        <w:t>]</w:t>
      </w:r>
    </w:p>
    <w:p w14:paraId="3AFAAFB0">
      <w:pPr>
        <w:spacing w:line="280" w:lineRule="exact"/>
        <w:rPr>
          <w:szCs w:val="21"/>
        </w:rPr>
      </w:pPr>
      <w:r>
        <w:rPr>
          <w:rFonts w:hint="eastAsia" w:cs="宋体"/>
          <w:szCs w:val="21"/>
          <w:lang w:bidi="ar"/>
        </w:rPr>
        <w:t>通用名称：莲心胶囊</w:t>
      </w:r>
    </w:p>
    <w:p w14:paraId="3B7204EA">
      <w:pPr>
        <w:spacing w:line="280" w:lineRule="exact"/>
        <w:rPr>
          <w:szCs w:val="21"/>
        </w:rPr>
      </w:pPr>
      <w:r>
        <w:rPr>
          <w:rFonts w:hint="eastAsia" w:cs="宋体"/>
          <w:szCs w:val="21"/>
          <w:lang w:bidi="ar"/>
        </w:rPr>
        <w:t>汉语拼音：</w:t>
      </w:r>
    </w:p>
    <w:p w14:paraId="69EEB2FF">
      <w:pPr>
        <w:spacing w:line="0" w:lineRule="atLeast"/>
        <w:rPr>
          <w:szCs w:val="21"/>
        </w:rPr>
      </w:pPr>
      <w:r>
        <w:rPr>
          <w:szCs w:val="21"/>
          <w:lang w:bidi="ar"/>
        </w:rPr>
        <w:t>[</w:t>
      </w:r>
      <w:r>
        <w:rPr>
          <w:rFonts w:hint="eastAsia" w:cs="宋体"/>
          <w:szCs w:val="21"/>
          <w:lang w:bidi="ar"/>
        </w:rPr>
        <w:t>成份</w:t>
      </w:r>
      <w:r>
        <w:rPr>
          <w:szCs w:val="21"/>
          <w:lang w:bidi="ar"/>
        </w:rPr>
        <w:t>]</w:t>
      </w:r>
    </w:p>
    <w:p w14:paraId="02CF40AA">
      <w:pPr>
        <w:spacing w:line="280" w:lineRule="exact"/>
        <w:rPr>
          <w:szCs w:val="21"/>
        </w:rPr>
      </w:pPr>
      <w:r>
        <w:rPr>
          <w:szCs w:val="21"/>
          <w:lang w:bidi="ar"/>
        </w:rPr>
        <w:t>[</w:t>
      </w:r>
      <w:r>
        <w:rPr>
          <w:rFonts w:hint="eastAsia" w:cs="宋体"/>
          <w:szCs w:val="21"/>
          <w:lang w:bidi="ar"/>
        </w:rPr>
        <w:t>性状</w:t>
      </w:r>
      <w:r>
        <w:rPr>
          <w:szCs w:val="21"/>
          <w:lang w:bidi="ar"/>
        </w:rPr>
        <w:t>]</w:t>
      </w:r>
    </w:p>
    <w:p w14:paraId="01C47092">
      <w:pPr>
        <w:spacing w:line="280" w:lineRule="exact"/>
        <w:rPr>
          <w:szCs w:val="21"/>
        </w:rPr>
      </w:pPr>
      <w:r>
        <w:rPr>
          <w:szCs w:val="21"/>
          <w:lang w:bidi="ar"/>
        </w:rPr>
        <w:t>[</w:t>
      </w:r>
      <w:r>
        <w:rPr>
          <w:rFonts w:hint="eastAsia" w:cs="宋体"/>
          <w:szCs w:val="21"/>
          <w:lang w:bidi="ar"/>
        </w:rPr>
        <w:t>功能主治</w:t>
      </w:r>
      <w:r>
        <w:rPr>
          <w:szCs w:val="21"/>
          <w:lang w:bidi="ar"/>
        </w:rPr>
        <w:t>]</w:t>
      </w:r>
      <w:r>
        <w:rPr>
          <w:rFonts w:hint="eastAsia" w:cs="宋体"/>
          <w:szCs w:val="21"/>
          <w:lang w:bidi="ar"/>
        </w:rPr>
        <w:t>清心安神。用于神经衰弱属心火偏盛者，症见失眠，多梦，心中烦热等。</w:t>
      </w:r>
    </w:p>
    <w:p w14:paraId="12082590">
      <w:pPr>
        <w:spacing w:line="280" w:lineRule="exact"/>
        <w:rPr>
          <w:rFonts w:eastAsia="等线"/>
          <w:szCs w:val="21"/>
        </w:rPr>
      </w:pPr>
      <w:r>
        <w:rPr>
          <w:szCs w:val="21"/>
          <w:lang w:bidi="ar"/>
        </w:rPr>
        <w:t>[</w:t>
      </w:r>
      <w:r>
        <w:rPr>
          <w:rFonts w:hint="eastAsia" w:cs="宋体"/>
          <w:szCs w:val="21"/>
          <w:lang w:bidi="ar"/>
        </w:rPr>
        <w:t>规格</w:t>
      </w:r>
      <w:r>
        <w:rPr>
          <w:szCs w:val="21"/>
          <w:lang w:bidi="ar"/>
        </w:rPr>
        <w:t>]</w:t>
      </w:r>
      <w:r>
        <w:rPr>
          <w:rFonts w:hint="eastAsia" w:cs="宋体"/>
          <w:szCs w:val="21"/>
          <w:lang w:bidi="ar"/>
        </w:rPr>
        <w:t>每粒装</w:t>
      </w:r>
      <w:r>
        <w:rPr>
          <w:szCs w:val="21"/>
          <w:lang w:bidi="ar"/>
        </w:rPr>
        <w:t>0.34</w:t>
      </w:r>
      <w:r>
        <w:rPr>
          <w:rFonts w:hint="eastAsia" w:cs="宋体"/>
          <w:szCs w:val="21"/>
          <w:lang w:bidi="ar"/>
        </w:rPr>
        <w:t>克（相当于饮片</w:t>
      </w:r>
      <w:r>
        <w:rPr>
          <w:szCs w:val="21"/>
          <w:lang w:bidi="ar"/>
        </w:rPr>
        <w:t>0.77</w:t>
      </w:r>
      <w:r>
        <w:rPr>
          <w:rFonts w:hint="eastAsia" w:cs="宋体"/>
          <w:szCs w:val="21"/>
          <w:lang w:bidi="ar"/>
        </w:rPr>
        <w:t>克）</w:t>
      </w:r>
    </w:p>
    <w:p w14:paraId="3F05018E">
      <w:pPr>
        <w:spacing w:line="280" w:lineRule="exact"/>
        <w:rPr>
          <w:szCs w:val="21"/>
        </w:rPr>
      </w:pPr>
      <w:r>
        <w:rPr>
          <w:szCs w:val="21"/>
          <w:lang w:bidi="ar"/>
        </w:rPr>
        <w:t>[</w:t>
      </w:r>
      <w:r>
        <w:rPr>
          <w:rFonts w:hint="eastAsia" w:cs="宋体"/>
          <w:szCs w:val="21"/>
          <w:lang w:bidi="ar"/>
        </w:rPr>
        <w:t>用法用量</w:t>
      </w:r>
      <w:r>
        <w:rPr>
          <w:szCs w:val="21"/>
          <w:lang w:bidi="ar"/>
        </w:rPr>
        <w:t>]</w:t>
      </w:r>
      <w:r>
        <w:rPr>
          <w:rFonts w:hint="eastAsia" w:cs="宋体"/>
          <w:szCs w:val="21"/>
          <w:lang w:bidi="ar"/>
        </w:rPr>
        <w:t>口服，一次</w:t>
      </w:r>
      <w:r>
        <w:rPr>
          <w:szCs w:val="21"/>
          <w:lang w:bidi="ar"/>
        </w:rPr>
        <w:t>2</w:t>
      </w:r>
      <w:r>
        <w:rPr>
          <w:rFonts w:hint="eastAsia" w:cs="宋体"/>
          <w:szCs w:val="21"/>
          <w:lang w:bidi="ar"/>
        </w:rPr>
        <w:t>粒，一日</w:t>
      </w:r>
      <w:r>
        <w:rPr>
          <w:szCs w:val="21"/>
          <w:lang w:bidi="ar"/>
        </w:rPr>
        <w:t>3</w:t>
      </w:r>
      <w:r>
        <w:rPr>
          <w:rFonts w:hint="eastAsia" w:cs="宋体"/>
          <w:szCs w:val="21"/>
          <w:lang w:bidi="ar"/>
        </w:rPr>
        <w:t>次，小儿减半或遵医嘱。</w:t>
      </w:r>
    </w:p>
    <w:p w14:paraId="6E318892">
      <w:pPr>
        <w:spacing w:line="280" w:lineRule="exact"/>
        <w:rPr>
          <w:szCs w:val="21"/>
        </w:rPr>
      </w:pPr>
      <w:r>
        <w:rPr>
          <w:szCs w:val="21"/>
          <w:lang w:bidi="ar"/>
        </w:rPr>
        <w:t>[</w:t>
      </w:r>
      <w:r>
        <w:rPr>
          <w:rFonts w:hint="eastAsia" w:cs="宋体"/>
          <w:szCs w:val="21"/>
          <w:lang w:bidi="ar"/>
        </w:rPr>
        <w:t>不良反应</w:t>
      </w:r>
      <w:r>
        <w:rPr>
          <w:szCs w:val="21"/>
          <w:lang w:bidi="ar"/>
        </w:rPr>
        <w:t>]</w:t>
      </w:r>
      <w:r>
        <w:rPr>
          <w:rFonts w:hint="eastAsia" w:cs="宋体"/>
          <w:szCs w:val="21"/>
          <w:lang w:bidi="ar"/>
        </w:rPr>
        <w:t>监测数据显示，本品可见以下不良反应报告：恶心、呕吐、腹泻、腹部不适、头晕等。</w:t>
      </w:r>
    </w:p>
    <w:p w14:paraId="005058AA">
      <w:pPr>
        <w:spacing w:line="0" w:lineRule="atLeast"/>
        <w:rPr>
          <w:b/>
        </w:rPr>
      </w:pPr>
      <w:r>
        <w:rPr>
          <w:b/>
          <w:bCs/>
          <w:szCs w:val="21"/>
          <w:lang w:bidi="ar"/>
        </w:rPr>
        <w:t>[</w:t>
      </w:r>
      <w:r>
        <w:rPr>
          <w:rFonts w:hint="eastAsia" w:cs="宋体"/>
          <w:b/>
          <w:bCs/>
          <w:szCs w:val="21"/>
          <w:lang w:bidi="ar"/>
        </w:rPr>
        <w:t>禁忌</w:t>
      </w:r>
      <w:r>
        <w:rPr>
          <w:b/>
          <w:bCs/>
          <w:szCs w:val="21"/>
          <w:lang w:bidi="ar"/>
        </w:rPr>
        <w:t>]</w:t>
      </w:r>
      <w:r>
        <w:rPr>
          <w:rFonts w:hint="eastAsia" w:cs="宋体"/>
          <w:b/>
          <w:bCs/>
          <w:szCs w:val="21"/>
          <w:lang w:bidi="ar"/>
        </w:rPr>
        <w:t>对本品及所含成份过敏者禁用。</w:t>
      </w:r>
    </w:p>
    <w:p w14:paraId="4CC1C5C5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  <w:lang w:bidi="ar"/>
        </w:rPr>
        <w:t>[</w:t>
      </w:r>
      <w:r>
        <w:rPr>
          <w:rFonts w:hint="eastAsia" w:cs="宋体"/>
          <w:b/>
          <w:bCs/>
          <w:szCs w:val="21"/>
          <w:lang w:bidi="ar"/>
        </w:rPr>
        <w:t>注意事项</w:t>
      </w:r>
      <w:r>
        <w:rPr>
          <w:b/>
          <w:bCs/>
          <w:szCs w:val="21"/>
          <w:lang w:bidi="ar"/>
        </w:rPr>
        <w:t>]</w:t>
      </w:r>
    </w:p>
    <w:p w14:paraId="67ECBC40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  <w:lang w:bidi="ar"/>
        </w:rPr>
        <w:t>1</w:t>
      </w:r>
      <w:r>
        <w:rPr>
          <w:rFonts w:hint="eastAsia" w:cs="宋体"/>
          <w:b/>
          <w:bCs/>
          <w:szCs w:val="21"/>
          <w:lang w:bidi="ar"/>
        </w:rPr>
        <w:t>．忌烟、酒及辛辣、油腻食物。</w:t>
      </w:r>
    </w:p>
    <w:p w14:paraId="6C9CC19B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  <w:lang w:bidi="ar"/>
        </w:rPr>
        <w:t>2</w:t>
      </w:r>
      <w:r>
        <w:rPr>
          <w:rFonts w:hint="eastAsia" w:cs="宋体"/>
          <w:b/>
          <w:bCs/>
          <w:szCs w:val="21"/>
          <w:lang w:bidi="ar"/>
        </w:rPr>
        <w:t>．服药期间要保持情绪乐观，切忌生气恼怒。</w:t>
      </w:r>
    </w:p>
    <w:p w14:paraId="6A008F8C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  <w:lang w:bidi="ar"/>
        </w:rPr>
        <w:t>3</w:t>
      </w:r>
      <w:r>
        <w:rPr>
          <w:rFonts w:hint="eastAsia" w:cs="宋体"/>
          <w:b/>
          <w:bCs/>
          <w:szCs w:val="21"/>
          <w:lang w:bidi="ar"/>
        </w:rPr>
        <w:t>．感冒发热病人不宜服用。</w:t>
      </w:r>
    </w:p>
    <w:p w14:paraId="2C48C3AC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  <w:lang w:bidi="ar"/>
        </w:rPr>
        <w:t>4</w:t>
      </w:r>
      <w:r>
        <w:rPr>
          <w:rFonts w:hint="eastAsia" w:cs="宋体"/>
          <w:b/>
          <w:bCs/>
          <w:szCs w:val="21"/>
          <w:lang w:bidi="ar"/>
        </w:rPr>
        <w:t>．婴幼儿慎用，如确需服用，应在医师指导下服用。</w:t>
      </w:r>
    </w:p>
    <w:p w14:paraId="7E4A2340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  <w:lang w:bidi="ar"/>
        </w:rPr>
        <w:t>5</w:t>
      </w:r>
      <w:r>
        <w:rPr>
          <w:rFonts w:hint="eastAsia" w:cs="宋体"/>
          <w:b/>
          <w:bCs/>
          <w:szCs w:val="21"/>
          <w:lang w:bidi="ar"/>
        </w:rPr>
        <w:t>．本品性苦、寒，脾胃虚寒者慎用。</w:t>
      </w:r>
    </w:p>
    <w:p w14:paraId="62FF2256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  <w:lang w:bidi="ar"/>
        </w:rPr>
        <w:t>6</w:t>
      </w:r>
      <w:r>
        <w:rPr>
          <w:rFonts w:hint="eastAsia" w:cs="宋体"/>
          <w:b/>
          <w:bCs/>
          <w:szCs w:val="21"/>
          <w:lang w:bidi="ar"/>
        </w:rPr>
        <w:t>．严格按用法用量服用，本品不宜长期或超量服用。</w:t>
      </w:r>
    </w:p>
    <w:p w14:paraId="25FA3B62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  <w:lang w:bidi="ar"/>
        </w:rPr>
        <w:t>7</w:t>
      </w:r>
      <w:r>
        <w:rPr>
          <w:rFonts w:hint="eastAsia" w:cs="宋体"/>
          <w:b/>
          <w:bCs/>
          <w:szCs w:val="21"/>
          <w:lang w:bidi="ar"/>
        </w:rPr>
        <w:t>．儿童（</w:t>
      </w:r>
      <w:r>
        <w:rPr>
          <w:b/>
          <w:bCs/>
          <w:szCs w:val="21"/>
          <w:lang w:bidi="ar"/>
        </w:rPr>
        <w:t>3</w:t>
      </w:r>
      <w:r>
        <w:rPr>
          <w:rFonts w:hint="eastAsia" w:cs="宋体"/>
          <w:b/>
          <w:bCs/>
          <w:szCs w:val="21"/>
          <w:lang w:bidi="ar"/>
        </w:rPr>
        <w:t>岁以上）、孕妇、哺乳期妇女、年老体弱者应在医师指导下服用。</w:t>
      </w:r>
    </w:p>
    <w:p w14:paraId="1074B4E7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  <w:lang w:bidi="ar"/>
        </w:rPr>
        <w:t>8</w:t>
      </w:r>
      <w:r>
        <w:rPr>
          <w:rFonts w:hint="eastAsia" w:cs="宋体"/>
          <w:b/>
          <w:bCs/>
          <w:szCs w:val="21"/>
          <w:lang w:bidi="ar"/>
        </w:rPr>
        <w:t>．高血压、心脏病、肝病、糖尿病、肾病等患者应在医师指导下服用。</w:t>
      </w:r>
    </w:p>
    <w:p w14:paraId="4E6098EF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  <w:lang w:bidi="ar"/>
        </w:rPr>
        <w:t>9</w:t>
      </w:r>
      <w:r>
        <w:rPr>
          <w:rFonts w:hint="eastAsia" w:cs="宋体"/>
          <w:b/>
          <w:bCs/>
          <w:szCs w:val="21"/>
          <w:lang w:bidi="ar"/>
        </w:rPr>
        <w:t>．服药</w:t>
      </w:r>
      <w:r>
        <w:rPr>
          <w:b/>
          <w:bCs/>
          <w:szCs w:val="21"/>
          <w:lang w:bidi="ar"/>
        </w:rPr>
        <w:t>7</w:t>
      </w:r>
      <w:r>
        <w:rPr>
          <w:rFonts w:hint="eastAsia" w:cs="宋体"/>
          <w:b/>
          <w:bCs/>
          <w:szCs w:val="21"/>
          <w:lang w:bidi="ar"/>
        </w:rPr>
        <w:t>天症状无缓解，或症状加重，或出现新的严重症状，应去医院就诊。</w:t>
      </w:r>
    </w:p>
    <w:p w14:paraId="3BAD23B3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  <w:lang w:bidi="ar"/>
        </w:rPr>
        <w:t>10</w:t>
      </w:r>
      <w:r>
        <w:rPr>
          <w:rFonts w:hint="eastAsia" w:cs="宋体"/>
          <w:b/>
          <w:bCs/>
          <w:szCs w:val="21"/>
          <w:lang w:bidi="ar"/>
        </w:rPr>
        <w:t>．过敏体质者慎用。</w:t>
      </w:r>
    </w:p>
    <w:p w14:paraId="65FEDD9D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  <w:lang w:bidi="ar"/>
        </w:rPr>
        <w:t>11</w:t>
      </w:r>
      <w:r>
        <w:rPr>
          <w:rFonts w:hint="eastAsia" w:cs="宋体"/>
          <w:b/>
          <w:bCs/>
          <w:szCs w:val="21"/>
          <w:lang w:bidi="ar"/>
        </w:rPr>
        <w:t>．本品性状发生改变时禁止使用。</w:t>
      </w:r>
    </w:p>
    <w:p w14:paraId="37CF3D39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  <w:lang w:bidi="ar"/>
        </w:rPr>
        <w:t>12</w:t>
      </w:r>
      <w:r>
        <w:rPr>
          <w:rFonts w:hint="eastAsia" w:cs="宋体"/>
          <w:b/>
          <w:bCs/>
          <w:szCs w:val="21"/>
          <w:lang w:bidi="ar"/>
        </w:rPr>
        <w:t>．儿童必须在成人监护下使用。</w:t>
      </w:r>
    </w:p>
    <w:p w14:paraId="0B5129B9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  <w:lang w:bidi="ar"/>
        </w:rPr>
        <w:t>13</w:t>
      </w:r>
      <w:r>
        <w:rPr>
          <w:rFonts w:hint="eastAsia" w:cs="宋体"/>
          <w:b/>
          <w:bCs/>
          <w:szCs w:val="21"/>
          <w:lang w:bidi="ar"/>
        </w:rPr>
        <w:t>．请将本品放在儿童不能接触的地方。</w:t>
      </w:r>
    </w:p>
    <w:p w14:paraId="50B9FC13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  <w:lang w:bidi="ar"/>
        </w:rPr>
        <w:t>14</w:t>
      </w:r>
      <w:r>
        <w:rPr>
          <w:rFonts w:hint="eastAsia" w:cs="宋体"/>
          <w:b/>
          <w:bCs/>
          <w:szCs w:val="21"/>
          <w:lang w:bidi="ar"/>
        </w:rPr>
        <w:t>．如正在使用其他药品，使用本品前请咨询医师或药师。</w:t>
      </w:r>
    </w:p>
    <w:p w14:paraId="30F9AE5F">
      <w:pPr>
        <w:spacing w:line="0" w:lineRule="atLeast"/>
        <w:rPr>
          <w:szCs w:val="21"/>
        </w:rPr>
      </w:pPr>
      <w:r>
        <w:rPr>
          <w:szCs w:val="21"/>
          <w:lang w:bidi="ar"/>
        </w:rPr>
        <w:t>[</w:t>
      </w:r>
      <w:r>
        <w:rPr>
          <w:rFonts w:hint="eastAsia" w:cs="宋体"/>
          <w:szCs w:val="21"/>
          <w:lang w:bidi="ar"/>
        </w:rPr>
        <w:t>药物相互作用</w:t>
      </w:r>
      <w:r>
        <w:rPr>
          <w:szCs w:val="21"/>
          <w:lang w:bidi="ar"/>
        </w:rPr>
        <w:t>]</w:t>
      </w:r>
      <w:r>
        <w:rPr>
          <w:rFonts w:hint="eastAsia" w:cs="宋体"/>
          <w:szCs w:val="21"/>
          <w:lang w:bidi="ar"/>
        </w:rPr>
        <w:t>如与其他药物同时使用可能会发生药物相互作用，详情请咨询医师或药师。</w:t>
      </w:r>
    </w:p>
    <w:p w14:paraId="7D809ECC">
      <w:r>
        <w:rPr>
          <w:lang w:bidi="ar"/>
        </w:rPr>
        <w:t>[</w:t>
      </w:r>
      <w:r>
        <w:rPr>
          <w:rFonts w:hint="eastAsia" w:cs="宋体"/>
          <w:lang w:bidi="ar"/>
        </w:rPr>
        <w:t>贮藏</w:t>
      </w:r>
      <w:r>
        <w:rPr>
          <w:lang w:bidi="ar"/>
        </w:rPr>
        <w:t xml:space="preserve">] </w:t>
      </w:r>
      <w:r>
        <w:rPr>
          <w:lang w:bidi="ar"/>
        </w:rPr>
        <w:br w:type="textWrapping"/>
      </w:r>
      <w:r>
        <w:rPr>
          <w:lang w:bidi="ar"/>
        </w:rPr>
        <w:t>[</w:t>
      </w:r>
      <w:r>
        <w:rPr>
          <w:rFonts w:hint="eastAsia" w:cs="宋体"/>
          <w:lang w:bidi="ar"/>
        </w:rPr>
        <w:t>包装</w:t>
      </w:r>
      <w:r>
        <w:rPr>
          <w:lang w:bidi="ar"/>
        </w:rPr>
        <w:t>]</w:t>
      </w:r>
      <w:r>
        <w:rPr>
          <w:lang w:bidi="ar"/>
        </w:rPr>
        <w:br w:type="textWrapping"/>
      </w:r>
      <w:r>
        <w:rPr>
          <w:lang w:bidi="ar"/>
        </w:rPr>
        <w:t>[</w:t>
      </w:r>
      <w:r>
        <w:rPr>
          <w:rFonts w:hint="eastAsia" w:cs="宋体"/>
          <w:lang w:bidi="ar"/>
        </w:rPr>
        <w:t>有效期</w:t>
      </w:r>
      <w:r>
        <w:rPr>
          <w:lang w:bidi="ar"/>
        </w:rPr>
        <w:t>]</w:t>
      </w:r>
      <w:r>
        <w:rPr>
          <w:lang w:bidi="ar"/>
        </w:rPr>
        <w:br w:type="textWrapping"/>
      </w:r>
      <w:r>
        <w:rPr>
          <w:lang w:bidi="ar"/>
        </w:rPr>
        <w:t>[</w:t>
      </w:r>
      <w:r>
        <w:rPr>
          <w:rFonts w:hint="eastAsia" w:cs="宋体"/>
          <w:lang w:bidi="ar"/>
        </w:rPr>
        <w:t>执行标准</w:t>
      </w:r>
      <w:r>
        <w:rPr>
          <w:lang w:bidi="ar"/>
        </w:rPr>
        <w:t>]</w:t>
      </w:r>
      <w:r>
        <w:rPr>
          <w:lang w:bidi="ar"/>
        </w:rPr>
        <w:br w:type="textWrapping"/>
      </w:r>
      <w:r>
        <w:rPr>
          <w:lang w:bidi="ar"/>
        </w:rPr>
        <w:t>[</w:t>
      </w:r>
      <w:r>
        <w:rPr>
          <w:rFonts w:hint="eastAsia" w:cs="宋体"/>
          <w:lang w:bidi="ar"/>
        </w:rPr>
        <w:t>批准文号</w:t>
      </w:r>
      <w:r>
        <w:rPr>
          <w:lang w:bidi="ar"/>
        </w:rPr>
        <w:t>]</w:t>
      </w:r>
      <w:r>
        <w:rPr>
          <w:lang w:bidi="ar"/>
        </w:rPr>
        <w:br w:type="textWrapping"/>
      </w:r>
      <w:r>
        <w:rPr>
          <w:lang w:bidi="ar"/>
        </w:rPr>
        <w:t>[</w:t>
      </w:r>
      <w:r>
        <w:rPr>
          <w:rFonts w:hint="eastAsia" w:cs="宋体"/>
          <w:lang w:bidi="ar"/>
        </w:rPr>
        <w:t>说明书修订日期</w:t>
      </w:r>
      <w:r>
        <w:rPr>
          <w:lang w:bidi="ar"/>
        </w:rPr>
        <w:t>]</w:t>
      </w:r>
      <w:r>
        <w:rPr>
          <w:lang w:bidi="ar"/>
        </w:rPr>
        <w:br w:type="textWrapping"/>
      </w:r>
      <w:r>
        <w:rPr>
          <w:lang w:bidi="ar"/>
        </w:rPr>
        <w:t>[</w:t>
      </w:r>
      <w:r>
        <w:rPr>
          <w:rFonts w:hint="eastAsia" w:cs="宋体"/>
          <w:lang w:bidi="ar"/>
        </w:rPr>
        <w:t>药品上市许可持有人</w:t>
      </w:r>
      <w:r>
        <w:rPr>
          <w:lang w:bidi="ar"/>
        </w:rPr>
        <w:t>]</w:t>
      </w:r>
    </w:p>
    <w:p w14:paraId="722B0241">
      <w:r>
        <w:rPr>
          <w:rFonts w:hint="eastAsia" w:cs="宋体"/>
          <w:lang w:bidi="ar"/>
        </w:rPr>
        <w:t>名</w:t>
      </w:r>
      <w:r>
        <w:rPr>
          <w:lang w:bidi="ar"/>
        </w:rPr>
        <w:t xml:space="preserve">    </w:t>
      </w:r>
      <w:r>
        <w:rPr>
          <w:rFonts w:hint="eastAsia" w:cs="宋体"/>
          <w:lang w:bidi="ar"/>
        </w:rPr>
        <w:t>称：</w:t>
      </w:r>
      <w:r>
        <w:rPr>
          <w:lang w:bidi="ar"/>
        </w:rPr>
        <w:t xml:space="preserve"> </w:t>
      </w:r>
      <w:r>
        <w:rPr>
          <w:lang w:bidi="ar"/>
        </w:rPr>
        <w:br w:type="textWrapping"/>
      </w:r>
      <w:r>
        <w:rPr>
          <w:rFonts w:hint="eastAsia" w:cs="宋体"/>
          <w:lang w:bidi="ar"/>
        </w:rPr>
        <w:t>注册地址：</w:t>
      </w:r>
      <w:r>
        <w:rPr>
          <w:lang w:bidi="ar"/>
        </w:rPr>
        <w:br w:type="textWrapping"/>
      </w:r>
      <w:r>
        <w:rPr>
          <w:rFonts w:hint="eastAsia" w:cs="宋体"/>
          <w:lang w:bidi="ar"/>
        </w:rPr>
        <w:t>邮政编码：</w:t>
      </w:r>
      <w:r>
        <w:rPr>
          <w:lang w:bidi="ar"/>
        </w:rPr>
        <w:br w:type="textWrapping"/>
      </w:r>
      <w:r>
        <w:rPr>
          <w:rFonts w:hint="eastAsia" w:cs="宋体"/>
          <w:lang w:bidi="ar"/>
        </w:rPr>
        <w:t>电话号码：</w:t>
      </w:r>
      <w:r>
        <w:rPr>
          <w:lang w:bidi="ar"/>
        </w:rPr>
        <w:br w:type="textWrapping"/>
      </w:r>
      <w:r>
        <w:rPr>
          <w:rFonts w:hint="eastAsia" w:cs="宋体"/>
          <w:lang w:bidi="ar"/>
        </w:rPr>
        <w:t>传真号码：</w:t>
      </w:r>
      <w:r>
        <w:rPr>
          <w:lang w:bidi="ar"/>
        </w:rPr>
        <w:br w:type="textWrapping"/>
      </w:r>
      <w:r>
        <w:rPr>
          <w:rFonts w:hint="eastAsia" w:cs="宋体"/>
          <w:lang w:bidi="ar"/>
        </w:rPr>
        <w:t>网</w:t>
      </w:r>
      <w:r>
        <w:rPr>
          <w:lang w:bidi="ar"/>
        </w:rPr>
        <w:t xml:space="preserve">    </w:t>
      </w:r>
      <w:r>
        <w:rPr>
          <w:rFonts w:hint="eastAsia" w:cs="宋体"/>
          <w:lang w:bidi="ar"/>
        </w:rPr>
        <w:t>址：</w:t>
      </w:r>
    </w:p>
    <w:p w14:paraId="4A1F7FDE">
      <w:pPr>
        <w:rPr>
          <w:b/>
          <w:bCs/>
        </w:rPr>
      </w:pPr>
      <w:r>
        <w:rPr>
          <w:lang w:bidi="ar"/>
        </w:rPr>
        <w:t>[</w:t>
      </w:r>
      <w:r>
        <w:rPr>
          <w:rFonts w:hint="eastAsia" w:cs="宋体"/>
          <w:lang w:bidi="ar"/>
        </w:rPr>
        <w:t>生产企业</w:t>
      </w:r>
      <w:r>
        <w:rPr>
          <w:lang w:bidi="ar"/>
        </w:rPr>
        <w:t>]</w:t>
      </w:r>
      <w:r>
        <w:rPr>
          <w:lang w:bidi="ar"/>
        </w:rPr>
        <w:br w:type="textWrapping"/>
      </w:r>
      <w:r>
        <w:rPr>
          <w:rFonts w:hint="eastAsia" w:cs="宋体"/>
          <w:lang w:bidi="ar"/>
        </w:rPr>
        <w:t>企业名称：</w:t>
      </w:r>
      <w:r>
        <w:rPr>
          <w:lang w:bidi="ar"/>
        </w:rPr>
        <w:t xml:space="preserve"> </w:t>
      </w:r>
      <w:r>
        <w:rPr>
          <w:lang w:bidi="ar"/>
        </w:rPr>
        <w:br w:type="textWrapping"/>
      </w:r>
      <w:r>
        <w:rPr>
          <w:rFonts w:hint="eastAsia" w:cs="宋体"/>
          <w:lang w:bidi="ar"/>
        </w:rPr>
        <w:t>生产地址：</w:t>
      </w:r>
      <w:r>
        <w:rPr>
          <w:lang w:bidi="ar"/>
        </w:rPr>
        <w:br w:type="textWrapping"/>
      </w:r>
      <w:r>
        <w:rPr>
          <w:rFonts w:hint="eastAsia" w:cs="宋体"/>
          <w:b/>
          <w:bCs/>
          <w:lang w:bidi="ar"/>
        </w:rPr>
        <w:t>如有问题可与药品上市许可持有人联系。</w:t>
      </w:r>
    </w:p>
    <w:p w14:paraId="5916962D">
      <w:pPr>
        <w:rPr>
          <w:b/>
          <w:bCs/>
        </w:rPr>
      </w:pPr>
    </w:p>
    <w:p w14:paraId="4D48BFE0">
      <w:pPr>
        <w:rPr>
          <w:b/>
          <w:bCs/>
        </w:rPr>
      </w:pPr>
      <w:r>
        <w:rPr>
          <w:rFonts w:hint="eastAsia" w:ascii="Calibri" w:hAnsi="Calibri" w:cs="宋体"/>
          <w:color w:val="000000"/>
          <w:szCs w:val="21"/>
          <w:lang w:bidi="ar"/>
        </w:rPr>
        <w:t>（注：本说明书范本原则上不得删减，如原批准说明书的安全性内容较本范本内容更全面或者更严格的，应当保留原批准内容。）</w:t>
      </w:r>
    </w:p>
    <w:p w14:paraId="5B0A7006"/>
    <w:p w14:paraId="7D4F025D"/>
    <w:p w14:paraId="37552DD4"/>
    <w:p w14:paraId="3986419D"/>
    <w:p w14:paraId="6FF03BA8"/>
    <w:p w14:paraId="5EA1E382"/>
    <w:p w14:paraId="71705F53"/>
    <w:p w14:paraId="23BF6950"/>
    <w:p w14:paraId="19692465"/>
    <w:p w14:paraId="0EA4E6FC"/>
    <w:p w14:paraId="2A66941F"/>
    <w:p w14:paraId="6E81E134"/>
    <w:p w14:paraId="64C86A8E"/>
    <w:p w14:paraId="45A762A7"/>
    <w:p w14:paraId="3C4830DA"/>
    <w:p w14:paraId="592B8FA4"/>
    <w:p w14:paraId="6F45570E"/>
    <w:p w14:paraId="33B6D330"/>
    <w:p w14:paraId="4D333128"/>
    <w:p w14:paraId="30CA8948"/>
    <w:p w14:paraId="32D95875"/>
    <w:p w14:paraId="64DF73EE"/>
    <w:p w14:paraId="373F68DC"/>
    <w:p w14:paraId="3980F639"/>
    <w:p w14:paraId="74B46A42"/>
    <w:p w14:paraId="471D9FB4"/>
    <w:p w14:paraId="08E2B0A5"/>
    <w:p w14:paraId="750047BA"/>
    <w:p w14:paraId="1F8999BB"/>
    <w:p w14:paraId="627CC8B3"/>
    <w:p w14:paraId="7D7370B7"/>
    <w:p w14:paraId="2F26C1B0"/>
    <w:p w14:paraId="3DCBDFE7"/>
    <w:p w14:paraId="3A9720B2">
      <w:pPr>
        <w:keepNext/>
        <w:keepLines/>
        <w:spacing w:before="260" w:after="260" w:line="408" w:lineRule="auto"/>
        <w:jc w:val="center"/>
        <w:outlineLvl w:val="1"/>
        <w:rPr>
          <w:rFonts w:ascii="宋体" w:hAnsi="宋体" w:cs="宋体"/>
          <w:b/>
          <w:sz w:val="30"/>
          <w:szCs w:val="20"/>
        </w:rPr>
      </w:pPr>
      <w:r>
        <w:rPr>
          <w:rFonts w:hint="eastAsia" w:ascii="宋体" w:hAnsi="宋体" w:cs="宋体"/>
          <w:b/>
          <w:sz w:val="30"/>
          <w:szCs w:val="20"/>
          <w:lang w:bidi="ar"/>
        </w:rPr>
        <w:t>筋骨止痛凝胶说明书</w:t>
      </w:r>
    </w:p>
    <w:p w14:paraId="26831791">
      <w:pPr>
        <w:spacing w:line="300" w:lineRule="exact"/>
        <w:jc w:val="center"/>
        <w:rPr>
          <w:b/>
          <w:bCs/>
          <w:szCs w:val="21"/>
        </w:rPr>
      </w:pPr>
      <w:r>
        <w:rPr>
          <w:rFonts w:hint="eastAsia" w:cs="宋体"/>
          <w:b/>
          <w:szCs w:val="22"/>
          <w:lang w:bidi="ar"/>
        </w:rPr>
        <w:t>请仔细阅读说明书并按说明使用或者在药师指导下购买和使用</w:t>
      </w:r>
    </w:p>
    <w:p w14:paraId="5C0E463D">
      <w:pPr>
        <w:spacing w:line="28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bidi="ar"/>
        </w:rPr>
        <w:t>[药品名称]</w:t>
      </w:r>
    </w:p>
    <w:p w14:paraId="3E750C1B">
      <w:pPr>
        <w:spacing w:line="28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bidi="ar"/>
        </w:rPr>
        <w:t>通用名称：筋骨止痛凝胶</w:t>
      </w:r>
    </w:p>
    <w:p w14:paraId="17C1B143">
      <w:pPr>
        <w:spacing w:line="28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bidi="ar"/>
        </w:rPr>
        <w:t>汉语拼音：</w:t>
      </w:r>
    </w:p>
    <w:p w14:paraId="31677EA2">
      <w:pPr>
        <w:spacing w:line="28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bidi="ar"/>
        </w:rPr>
        <w:t>[成份]</w:t>
      </w:r>
    </w:p>
    <w:p w14:paraId="5FEB8BD9">
      <w:pPr>
        <w:spacing w:line="28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bidi="ar"/>
        </w:rPr>
        <w:t>[性状]</w:t>
      </w:r>
    </w:p>
    <w:p w14:paraId="5AC575A2">
      <w:pPr>
        <w:spacing w:line="28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bidi="ar"/>
        </w:rPr>
        <w:t>[功能主治]活血理气，祛风除湿，通络止痛。用于膝骨关节炎肾虚筋脉瘀滞证的症状改善，症见膝关节轻中度疼痛、僵硬、活动不利，腰膝酸软，舌质偏红或边有积斑苔薄白，脉弦或滑。</w:t>
      </w:r>
    </w:p>
    <w:p w14:paraId="3E72856C">
      <w:pPr>
        <w:spacing w:line="28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bidi="ar"/>
        </w:rPr>
        <w:t>[规格]每支装15克（每1克相当于饮片1克，含薄荷脑3.6毫克）</w:t>
      </w:r>
    </w:p>
    <w:p w14:paraId="4D0B2489">
      <w:pPr>
        <w:spacing w:line="28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bidi="ar"/>
        </w:rPr>
        <w:t>[用法用量] 外用。一次3克 （一计量杯），一日2 次，均匀涂抹，覆盖整个膝关节表面，腘窝处禁止涂抹。疗程3 周。</w:t>
      </w:r>
    </w:p>
    <w:p w14:paraId="6C18F2F0">
      <w:pPr>
        <w:spacing w:line="28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bidi="ar"/>
        </w:rPr>
        <w:t>[不良反应] 临床试验期间个别患者用药后出现：皮肤红肿、瘙痒；ALT轻度升高。上市后监测数据显示，本品还可见以下不良反应：皮疹、红斑、荨麻疹、皮肤肿胀等。</w:t>
      </w:r>
    </w:p>
    <w:p w14:paraId="76627BFD">
      <w:pPr>
        <w:spacing w:line="280" w:lineRule="exac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  <w:lang w:bidi="ar"/>
        </w:rPr>
        <w:t xml:space="preserve">[禁忌] </w:t>
      </w:r>
    </w:p>
    <w:p w14:paraId="3EBC084C">
      <w:pPr>
        <w:spacing w:line="280" w:lineRule="exac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  <w:lang w:bidi="ar"/>
        </w:rPr>
        <w:t>1.本品为外用制剂，禁止内服。</w:t>
      </w:r>
    </w:p>
    <w:p w14:paraId="39DF6772">
      <w:pPr>
        <w:spacing w:line="280" w:lineRule="exac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  <w:lang w:bidi="ar"/>
        </w:rPr>
        <w:t>2.皮肤破溃或感染处禁用。</w:t>
      </w:r>
    </w:p>
    <w:p w14:paraId="1C9EC7A8">
      <w:pPr>
        <w:spacing w:line="280" w:lineRule="exac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  <w:lang w:bidi="ar"/>
        </w:rPr>
        <w:t>3.对本品及所含成份过敏者禁用。</w:t>
      </w:r>
    </w:p>
    <w:p w14:paraId="553848C4">
      <w:pPr>
        <w:spacing w:line="280" w:lineRule="exac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  <w:lang w:bidi="ar"/>
        </w:rPr>
        <w:t>4.孕妇及哺乳期妇女禁用。</w:t>
      </w:r>
    </w:p>
    <w:p w14:paraId="247D3BA4">
      <w:pPr>
        <w:spacing w:line="280" w:lineRule="exac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  <w:lang w:bidi="ar"/>
        </w:rPr>
        <w:t>[注意事项]</w:t>
      </w:r>
    </w:p>
    <w:p w14:paraId="606B6F45">
      <w:pPr>
        <w:spacing w:line="280" w:lineRule="exac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  <w:lang w:bidi="ar"/>
        </w:rPr>
        <w:t>1.避免接触眼睛和其他黏膜部位(如口、鼻等)。</w:t>
      </w:r>
    </w:p>
    <w:p w14:paraId="1232084A">
      <w:pPr>
        <w:spacing w:line="280" w:lineRule="exac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  <w:lang w:bidi="ar"/>
        </w:rPr>
        <w:t>2.使用过程中需关注药物的皮肤刺激性，用药部位如有红肿、瘙痒等情况应立即将局部药物洗净，并停药，必要时医院就诊。</w:t>
      </w:r>
    </w:p>
    <w:p w14:paraId="04123156">
      <w:pPr>
        <w:spacing w:line="280" w:lineRule="exac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  <w:lang w:bidi="ar"/>
        </w:rPr>
        <w:t>3.严重肝肾功能不全者慎用。</w:t>
      </w:r>
    </w:p>
    <w:p w14:paraId="30641222">
      <w:pPr>
        <w:spacing w:line="280" w:lineRule="exac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  <w:lang w:bidi="ar"/>
        </w:rPr>
        <w:t>4.用药7天症状无缓解，或症状加重者，应当去医院就诊。</w:t>
      </w:r>
    </w:p>
    <w:p w14:paraId="10EB4508">
      <w:pPr>
        <w:spacing w:line="280" w:lineRule="exac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  <w:lang w:bidi="ar"/>
        </w:rPr>
        <w:t xml:space="preserve">5.过敏体质者慎用。 </w:t>
      </w:r>
    </w:p>
    <w:p w14:paraId="44FE3DBE">
      <w:pPr>
        <w:spacing w:line="280" w:lineRule="exac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  <w:lang w:bidi="ar"/>
        </w:rPr>
        <w:t>6.请将本品放在儿童不能接触的地方。</w:t>
      </w:r>
    </w:p>
    <w:p w14:paraId="3BA11E34">
      <w:pPr>
        <w:spacing w:line="280" w:lineRule="exac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  <w:lang w:bidi="ar"/>
        </w:rPr>
        <w:t>7.本品性状发生改变时禁止使用。</w:t>
      </w:r>
    </w:p>
    <w:p w14:paraId="6EE4FFA7">
      <w:pPr>
        <w:spacing w:line="280" w:lineRule="exac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  <w:lang w:bidi="ar"/>
        </w:rPr>
        <w:t>8.如正在使用其他药品，使用本品前请咨询医师或药师。</w:t>
      </w:r>
    </w:p>
    <w:p w14:paraId="2415C83E">
      <w:pPr>
        <w:spacing w:line="28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bidi="ar"/>
        </w:rPr>
        <w:t>[药物相互作用]如与其他药物同时使用可能会发生药物相互作用，详情请咨询医师或者药师。</w:t>
      </w:r>
    </w:p>
    <w:p w14:paraId="17A2A3A6">
      <w:pPr>
        <w:spacing w:line="28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bidi="ar"/>
        </w:rPr>
        <w:t xml:space="preserve">[贮藏] </w:t>
      </w:r>
      <w:r>
        <w:rPr>
          <w:rFonts w:hint="eastAsia" w:ascii="宋体" w:hAnsi="宋体" w:cs="宋体"/>
          <w:szCs w:val="21"/>
          <w:lang w:bidi="ar"/>
        </w:rPr>
        <w:br w:type="textWrapping"/>
      </w:r>
      <w:r>
        <w:rPr>
          <w:rFonts w:hint="eastAsia" w:ascii="宋体" w:hAnsi="宋体" w:cs="宋体"/>
          <w:szCs w:val="21"/>
          <w:lang w:bidi="ar"/>
        </w:rPr>
        <w:t>[包装]</w:t>
      </w:r>
      <w:r>
        <w:rPr>
          <w:rFonts w:hint="eastAsia" w:ascii="宋体" w:hAnsi="宋体" w:cs="宋体"/>
          <w:szCs w:val="21"/>
          <w:lang w:bidi="ar"/>
        </w:rPr>
        <w:br w:type="textWrapping"/>
      </w:r>
      <w:r>
        <w:rPr>
          <w:rFonts w:hint="eastAsia" w:ascii="宋体" w:hAnsi="宋体" w:cs="宋体"/>
          <w:szCs w:val="21"/>
          <w:lang w:bidi="ar"/>
        </w:rPr>
        <w:t>[有效期]</w:t>
      </w:r>
      <w:r>
        <w:rPr>
          <w:rFonts w:hint="eastAsia" w:ascii="宋体" w:hAnsi="宋体" w:cs="宋体"/>
          <w:szCs w:val="21"/>
          <w:lang w:bidi="ar"/>
        </w:rPr>
        <w:br w:type="textWrapping"/>
      </w:r>
      <w:r>
        <w:rPr>
          <w:rFonts w:hint="eastAsia" w:ascii="宋体" w:hAnsi="宋体" w:cs="宋体"/>
          <w:szCs w:val="21"/>
          <w:lang w:bidi="ar"/>
        </w:rPr>
        <w:t>[执行标准]</w:t>
      </w:r>
      <w:r>
        <w:rPr>
          <w:rFonts w:hint="eastAsia" w:ascii="宋体" w:hAnsi="宋体" w:cs="宋体"/>
          <w:szCs w:val="21"/>
          <w:lang w:bidi="ar"/>
        </w:rPr>
        <w:br w:type="textWrapping"/>
      </w:r>
      <w:r>
        <w:rPr>
          <w:rFonts w:hint="eastAsia" w:ascii="宋体" w:hAnsi="宋体" w:cs="宋体"/>
          <w:szCs w:val="21"/>
          <w:lang w:bidi="ar"/>
        </w:rPr>
        <w:t>[批准文号]</w:t>
      </w:r>
      <w:r>
        <w:rPr>
          <w:rFonts w:hint="eastAsia" w:ascii="宋体" w:hAnsi="宋体" w:cs="宋体"/>
          <w:szCs w:val="21"/>
          <w:lang w:bidi="ar"/>
        </w:rPr>
        <w:br w:type="textWrapping"/>
      </w:r>
      <w:r>
        <w:rPr>
          <w:rFonts w:hint="eastAsia" w:ascii="宋体" w:hAnsi="宋体" w:cs="宋体"/>
          <w:szCs w:val="21"/>
          <w:lang w:bidi="ar"/>
        </w:rPr>
        <w:t>[说明书修订日期]</w:t>
      </w:r>
      <w:r>
        <w:rPr>
          <w:rFonts w:hint="eastAsia" w:ascii="宋体" w:hAnsi="宋体" w:cs="宋体"/>
          <w:szCs w:val="21"/>
          <w:lang w:bidi="ar"/>
        </w:rPr>
        <w:br w:type="textWrapping"/>
      </w:r>
      <w:r>
        <w:rPr>
          <w:rFonts w:hint="eastAsia" w:ascii="宋体" w:hAnsi="宋体" w:cs="宋体"/>
          <w:szCs w:val="21"/>
          <w:lang w:bidi="ar"/>
        </w:rPr>
        <w:t>[药品上市许可持有人]</w:t>
      </w:r>
    </w:p>
    <w:p w14:paraId="0B039F79">
      <w:pPr>
        <w:spacing w:line="28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bidi="ar"/>
        </w:rPr>
        <w:t xml:space="preserve">名    称： </w:t>
      </w:r>
      <w:r>
        <w:rPr>
          <w:rFonts w:hint="eastAsia" w:ascii="宋体" w:hAnsi="宋体" w:cs="宋体"/>
          <w:szCs w:val="21"/>
          <w:lang w:bidi="ar"/>
        </w:rPr>
        <w:br w:type="textWrapping"/>
      </w:r>
      <w:r>
        <w:rPr>
          <w:rFonts w:hint="eastAsia" w:ascii="宋体" w:hAnsi="宋体" w:cs="宋体"/>
          <w:szCs w:val="21"/>
          <w:lang w:bidi="ar"/>
        </w:rPr>
        <w:t>注册地址：</w:t>
      </w:r>
      <w:r>
        <w:rPr>
          <w:rFonts w:hint="eastAsia" w:ascii="宋体" w:hAnsi="宋体" w:cs="宋体"/>
          <w:szCs w:val="21"/>
          <w:lang w:bidi="ar"/>
        </w:rPr>
        <w:br w:type="textWrapping"/>
      </w:r>
      <w:r>
        <w:rPr>
          <w:rFonts w:hint="eastAsia" w:ascii="宋体" w:hAnsi="宋体" w:cs="宋体"/>
          <w:szCs w:val="21"/>
          <w:lang w:bidi="ar"/>
        </w:rPr>
        <w:t>邮政编码：</w:t>
      </w:r>
      <w:r>
        <w:rPr>
          <w:rFonts w:hint="eastAsia" w:ascii="宋体" w:hAnsi="宋体" w:cs="宋体"/>
          <w:szCs w:val="21"/>
          <w:lang w:bidi="ar"/>
        </w:rPr>
        <w:br w:type="textWrapping"/>
      </w:r>
      <w:r>
        <w:rPr>
          <w:rFonts w:hint="eastAsia" w:ascii="宋体" w:hAnsi="宋体" w:cs="宋体"/>
          <w:szCs w:val="21"/>
          <w:lang w:bidi="ar"/>
        </w:rPr>
        <w:t>电话号码：</w:t>
      </w:r>
      <w:r>
        <w:rPr>
          <w:rFonts w:hint="eastAsia" w:ascii="宋体" w:hAnsi="宋体" w:cs="宋体"/>
          <w:szCs w:val="21"/>
          <w:lang w:bidi="ar"/>
        </w:rPr>
        <w:br w:type="textWrapping"/>
      </w:r>
      <w:r>
        <w:rPr>
          <w:rFonts w:hint="eastAsia" w:ascii="宋体" w:hAnsi="宋体" w:cs="宋体"/>
          <w:szCs w:val="21"/>
          <w:lang w:bidi="ar"/>
        </w:rPr>
        <w:t>传真号码：</w:t>
      </w:r>
      <w:r>
        <w:rPr>
          <w:rFonts w:hint="eastAsia" w:ascii="宋体" w:hAnsi="宋体" w:cs="宋体"/>
          <w:szCs w:val="21"/>
          <w:lang w:bidi="ar"/>
        </w:rPr>
        <w:br w:type="textWrapping"/>
      </w:r>
      <w:r>
        <w:rPr>
          <w:rFonts w:hint="eastAsia" w:ascii="宋体" w:hAnsi="宋体" w:cs="宋体"/>
          <w:szCs w:val="21"/>
          <w:lang w:bidi="ar"/>
        </w:rPr>
        <w:t>网    址：</w:t>
      </w:r>
    </w:p>
    <w:p w14:paraId="0EFC8440">
      <w:pPr>
        <w:spacing w:line="28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bidi="ar"/>
        </w:rPr>
        <w:t>[生产企业]</w:t>
      </w:r>
      <w:r>
        <w:rPr>
          <w:rFonts w:hint="eastAsia" w:ascii="宋体" w:hAnsi="宋体" w:cs="宋体"/>
          <w:szCs w:val="21"/>
          <w:lang w:bidi="ar"/>
        </w:rPr>
        <w:br w:type="textWrapping"/>
      </w:r>
      <w:r>
        <w:rPr>
          <w:rFonts w:hint="eastAsia" w:ascii="宋体" w:hAnsi="宋体" w:cs="宋体"/>
          <w:szCs w:val="21"/>
          <w:lang w:bidi="ar"/>
        </w:rPr>
        <w:t xml:space="preserve">企业名称： </w:t>
      </w:r>
      <w:r>
        <w:rPr>
          <w:rFonts w:hint="eastAsia" w:ascii="宋体" w:hAnsi="宋体" w:cs="宋体"/>
          <w:szCs w:val="21"/>
          <w:lang w:bidi="ar"/>
        </w:rPr>
        <w:br w:type="textWrapping"/>
      </w:r>
      <w:r>
        <w:rPr>
          <w:rFonts w:hint="eastAsia" w:ascii="宋体" w:hAnsi="宋体" w:cs="宋体"/>
          <w:szCs w:val="21"/>
          <w:lang w:bidi="ar"/>
        </w:rPr>
        <w:t>生产地址：</w:t>
      </w:r>
      <w:r>
        <w:rPr>
          <w:rFonts w:hint="eastAsia" w:ascii="宋体" w:hAnsi="宋体" w:cs="宋体"/>
          <w:szCs w:val="21"/>
          <w:lang w:bidi="ar"/>
        </w:rPr>
        <w:br w:type="textWrapping"/>
      </w:r>
      <w:r>
        <w:rPr>
          <w:rFonts w:hint="eastAsia" w:ascii="宋体" w:hAnsi="宋体" w:cs="宋体"/>
          <w:szCs w:val="21"/>
          <w:lang w:bidi="ar"/>
        </w:rPr>
        <w:t>如有问题可与药品上市许可持有人联系。</w:t>
      </w:r>
    </w:p>
    <w:p w14:paraId="25FC78D1">
      <w:pPr>
        <w:spacing w:line="280" w:lineRule="exact"/>
        <w:rPr>
          <w:rFonts w:ascii="宋体" w:hAnsi="宋体" w:cs="宋体"/>
          <w:szCs w:val="21"/>
        </w:rPr>
      </w:pPr>
    </w:p>
    <w:p w14:paraId="3C7F91F4">
      <w:pPr>
        <w:spacing w:line="280" w:lineRule="exact"/>
        <w:rPr>
          <w:rFonts w:ascii="宋体" w:hAnsi="宋体" w:cs="宋体"/>
          <w:szCs w:val="21"/>
        </w:rPr>
      </w:pPr>
    </w:p>
    <w:p w14:paraId="4F500ED9">
      <w:pPr>
        <w:spacing w:line="28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bidi="ar"/>
        </w:rPr>
        <w:t>（注：本说明书范本原则上不得删减，如原批准说明书的安全性内容较本范本内容更全面或者更严格的，应保留原批准内容。）</w:t>
      </w:r>
    </w:p>
    <w:p w14:paraId="0C4DBC9E"/>
    <w:p w14:paraId="197E5214"/>
    <w:p w14:paraId="0419DC56">
      <w:pPr>
        <w:rPr>
          <w:rFonts w:hint="eastAsia" w:ascii="仿宋_GB2312" w:hAnsi="华文仿宋" w:eastAsia="仿宋_GB2312"/>
          <w:sz w:val="32"/>
          <w:szCs w:val="32"/>
        </w:rPr>
      </w:pPr>
    </w:p>
    <w:p w14:paraId="13132008">
      <w:pPr>
        <w:rPr>
          <w:rFonts w:hint="eastAsia" w:ascii="仿宋_GB2312" w:hAnsi="华文仿宋" w:eastAsia="仿宋_GB2312"/>
          <w:sz w:val="32"/>
          <w:szCs w:val="32"/>
        </w:rPr>
      </w:pPr>
    </w:p>
    <w:p w14:paraId="5451EF5A">
      <w:pPr>
        <w:rPr>
          <w:rFonts w:hint="eastAsia" w:ascii="仿宋_GB2312" w:hAnsi="华文仿宋" w:eastAsia="仿宋_GB2312"/>
          <w:sz w:val="32"/>
          <w:szCs w:val="32"/>
        </w:rPr>
      </w:pPr>
    </w:p>
    <w:p w14:paraId="628EFE64">
      <w:pPr>
        <w:rPr>
          <w:rFonts w:hint="eastAsia" w:ascii="仿宋_GB2312" w:hAnsi="华文仿宋" w:eastAsia="仿宋_GB2312"/>
          <w:sz w:val="32"/>
          <w:szCs w:val="32"/>
        </w:rPr>
      </w:pPr>
    </w:p>
    <w:p w14:paraId="0F5C6839">
      <w:pPr>
        <w:rPr>
          <w:rFonts w:hint="eastAsia" w:ascii="仿宋_GB2312" w:hAnsi="华文仿宋" w:eastAsia="仿宋_GB2312"/>
          <w:sz w:val="32"/>
          <w:szCs w:val="32"/>
        </w:rPr>
      </w:pPr>
    </w:p>
    <w:p w14:paraId="0BA9DD03">
      <w:pPr>
        <w:rPr>
          <w:rFonts w:hint="eastAsia" w:ascii="仿宋_GB2312" w:hAnsi="华文仿宋" w:eastAsia="仿宋_GB2312"/>
          <w:sz w:val="32"/>
          <w:szCs w:val="32"/>
        </w:rPr>
      </w:pPr>
    </w:p>
    <w:p w14:paraId="67280760">
      <w:pPr>
        <w:rPr>
          <w:rFonts w:hint="eastAsia" w:ascii="仿宋_GB2312" w:hAnsi="华文仿宋" w:eastAsia="仿宋_GB2312"/>
          <w:sz w:val="32"/>
          <w:szCs w:val="32"/>
        </w:rPr>
      </w:pPr>
    </w:p>
    <w:p w14:paraId="02CE15A8">
      <w:pPr>
        <w:rPr>
          <w:rFonts w:hint="eastAsia" w:ascii="仿宋_GB2312" w:hAnsi="华文仿宋" w:eastAsia="仿宋_GB2312"/>
          <w:sz w:val="32"/>
          <w:szCs w:val="32"/>
        </w:rPr>
      </w:pPr>
    </w:p>
    <w:p w14:paraId="42A0D494">
      <w:pPr>
        <w:rPr>
          <w:rFonts w:hint="eastAsia" w:ascii="仿宋_GB2312" w:hAnsi="华文仿宋" w:eastAsia="仿宋_GB2312"/>
          <w:sz w:val="32"/>
          <w:szCs w:val="32"/>
        </w:rPr>
      </w:pPr>
    </w:p>
    <w:p w14:paraId="1260CB82">
      <w:pPr>
        <w:rPr>
          <w:rFonts w:hint="eastAsia" w:ascii="仿宋_GB2312" w:hAnsi="华文仿宋" w:eastAsia="仿宋_GB2312"/>
          <w:sz w:val="32"/>
          <w:szCs w:val="32"/>
        </w:rPr>
      </w:pPr>
    </w:p>
    <w:p w14:paraId="08EB8737">
      <w:pPr>
        <w:rPr>
          <w:rFonts w:hint="eastAsia" w:ascii="仿宋_GB2312" w:hAnsi="华文仿宋" w:eastAsia="仿宋_GB2312"/>
          <w:sz w:val="32"/>
          <w:szCs w:val="32"/>
        </w:rPr>
      </w:pPr>
    </w:p>
    <w:p w14:paraId="34D17F19">
      <w:pPr>
        <w:rPr>
          <w:rFonts w:hint="eastAsia" w:ascii="仿宋_GB2312" w:hAnsi="华文仿宋" w:eastAsia="仿宋_GB2312"/>
          <w:sz w:val="32"/>
          <w:szCs w:val="32"/>
        </w:rPr>
      </w:pPr>
    </w:p>
    <w:p w14:paraId="2E995A9D">
      <w:pPr>
        <w:rPr>
          <w:rFonts w:hint="eastAsia" w:ascii="仿宋_GB2312" w:hAnsi="华文仿宋" w:eastAsia="仿宋_GB2312"/>
          <w:sz w:val="32"/>
          <w:szCs w:val="32"/>
        </w:rPr>
      </w:pPr>
    </w:p>
    <w:p w14:paraId="30F2578E">
      <w:pPr>
        <w:rPr>
          <w:rFonts w:hint="eastAsia" w:ascii="仿宋_GB2312" w:hAnsi="华文仿宋" w:eastAsia="仿宋_GB2312"/>
          <w:sz w:val="32"/>
          <w:szCs w:val="32"/>
        </w:rPr>
      </w:pPr>
    </w:p>
    <w:p w14:paraId="0FF484B4">
      <w:pPr>
        <w:rPr>
          <w:rFonts w:hint="eastAsia" w:ascii="仿宋_GB2312" w:hAnsi="华文仿宋" w:eastAsia="仿宋_GB2312"/>
          <w:sz w:val="32"/>
          <w:szCs w:val="32"/>
        </w:rPr>
      </w:pPr>
    </w:p>
    <w:p w14:paraId="7D883293">
      <w:pPr>
        <w:rPr>
          <w:rFonts w:hint="eastAsia" w:ascii="仿宋_GB2312" w:hAnsi="华文仿宋" w:eastAsia="仿宋_GB2312"/>
          <w:sz w:val="32"/>
          <w:szCs w:val="32"/>
        </w:rPr>
      </w:pPr>
    </w:p>
    <w:p w14:paraId="1B13178A">
      <w:pPr>
        <w:rPr>
          <w:rFonts w:hint="eastAsia" w:ascii="仿宋_GB2312" w:hAnsi="华文仿宋" w:eastAsia="仿宋_GB2312"/>
          <w:sz w:val="32"/>
          <w:szCs w:val="32"/>
        </w:rPr>
      </w:pPr>
    </w:p>
    <w:p w14:paraId="304316AC">
      <w:pPr>
        <w:keepNext/>
        <w:keepLines/>
        <w:spacing w:before="260" w:after="260" w:line="408" w:lineRule="auto"/>
        <w:jc w:val="center"/>
        <w:outlineLvl w:val="1"/>
        <w:rPr>
          <w:rFonts w:ascii="宋体" w:hAnsi="宋体" w:cs="宋体"/>
          <w:b/>
          <w:color w:val="000000"/>
          <w:sz w:val="30"/>
          <w:szCs w:val="20"/>
        </w:rPr>
      </w:pPr>
      <w:bookmarkStart w:id="0" w:name="OLE_LINK2"/>
      <w:bookmarkStart w:id="1" w:name="OLE_LINK7"/>
      <w:bookmarkStart w:id="2" w:name="OLE_LINK1"/>
      <w:r>
        <w:rPr>
          <w:rFonts w:hint="eastAsia" w:ascii="宋体" w:hAnsi="宋体" w:cs="宋体"/>
          <w:b/>
          <w:color w:val="000000"/>
          <w:sz w:val="30"/>
          <w:szCs w:val="20"/>
        </w:rPr>
        <w:t>清宁丸说明书</w:t>
      </w:r>
      <w:bookmarkEnd w:id="0"/>
      <w:bookmarkEnd w:id="1"/>
      <w:bookmarkEnd w:id="2"/>
    </w:p>
    <w:p w14:paraId="4BCC2CA8">
      <w:pPr>
        <w:spacing w:line="0" w:lineRule="atLeast"/>
        <w:jc w:val="center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请仔细阅读说明书并按说明使用或在药师指导下购买和使用</w:t>
      </w:r>
    </w:p>
    <w:p w14:paraId="1721E742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药品名称</w:t>
      </w:r>
      <w:r>
        <w:rPr>
          <w:rFonts w:ascii="宋体" w:hAnsi="宋体"/>
          <w:szCs w:val="21"/>
        </w:rPr>
        <w:t>]</w:t>
      </w:r>
    </w:p>
    <w:p w14:paraId="63FDC2F9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通用名称：清宁丸</w:t>
      </w:r>
    </w:p>
    <w:p w14:paraId="7EC1C236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汉语拼音：</w:t>
      </w:r>
    </w:p>
    <w:p w14:paraId="7C2C6EF5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成份</w:t>
      </w:r>
      <w:r>
        <w:rPr>
          <w:rFonts w:ascii="宋体" w:hAnsi="宋体"/>
          <w:szCs w:val="21"/>
        </w:rPr>
        <w:t>]</w:t>
      </w:r>
    </w:p>
    <w:p w14:paraId="506F8F84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性状</w:t>
      </w:r>
      <w:r>
        <w:rPr>
          <w:rFonts w:ascii="宋体" w:hAnsi="宋体"/>
          <w:szCs w:val="21"/>
        </w:rPr>
        <w:t>]</w:t>
      </w:r>
    </w:p>
    <w:p w14:paraId="27E90822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功能主治</w:t>
      </w:r>
      <w:r>
        <w:rPr>
          <w:rFonts w:ascii="宋体" w:hAnsi="宋体"/>
          <w:szCs w:val="21"/>
        </w:rPr>
        <w:t>]</w:t>
      </w:r>
      <w:r>
        <w:rPr>
          <w:rFonts w:hint="eastAsia"/>
        </w:rPr>
        <w:t xml:space="preserve"> </w:t>
      </w:r>
      <w:r>
        <w:rPr>
          <w:rFonts w:hint="eastAsia" w:ascii="宋体" w:hAnsi="宋体"/>
          <w:szCs w:val="21"/>
        </w:rPr>
        <w:t>清热泻火，消肿通便。用于火毒内蕴所致的咽喉肿痛、口舌生疮、头晕耳鸣、目赤牙痛、腹中胀满、大便秘结。</w:t>
      </w:r>
    </w:p>
    <w:p w14:paraId="5CFDCFA7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规格</w:t>
      </w:r>
      <w:r>
        <w:rPr>
          <w:rFonts w:ascii="宋体" w:hAnsi="宋体"/>
          <w:szCs w:val="21"/>
        </w:rPr>
        <w:t>]</w:t>
      </w:r>
      <w:bookmarkStart w:id="3" w:name="OLE_LINK4"/>
      <w:bookmarkStart w:id="4" w:name="OLE_LINK3"/>
      <w:r>
        <w:rPr>
          <w:rFonts w:hint="eastAsia"/>
        </w:rPr>
        <w:t xml:space="preserve"> </w:t>
      </w:r>
      <w:r>
        <w:rPr>
          <w:rFonts w:hint="eastAsia" w:ascii="宋体" w:hAnsi="宋体"/>
          <w:szCs w:val="21"/>
        </w:rPr>
        <w:t>每袋装6克</w:t>
      </w:r>
      <w:bookmarkEnd w:id="3"/>
      <w:bookmarkEnd w:id="4"/>
    </w:p>
    <w:p w14:paraId="6CAAB27E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用法用量</w:t>
      </w:r>
      <w:r>
        <w:rPr>
          <w:rFonts w:ascii="宋体" w:hAnsi="宋体"/>
          <w:szCs w:val="21"/>
        </w:rPr>
        <w:t>]</w:t>
      </w:r>
      <w:r>
        <w:rPr>
          <w:rFonts w:hint="eastAsia"/>
        </w:rPr>
        <w:t xml:space="preserve"> </w:t>
      </w:r>
      <w:r>
        <w:rPr>
          <w:rFonts w:hint="eastAsia" w:ascii="宋体" w:hAnsi="宋体"/>
          <w:szCs w:val="21"/>
        </w:rPr>
        <w:t>口服。水蜜丸一次6克，一日1～2次。</w:t>
      </w:r>
    </w:p>
    <w:p w14:paraId="12215872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不良反应</w:t>
      </w:r>
      <w:r>
        <w:rPr>
          <w:rFonts w:ascii="宋体" w:hAnsi="宋体"/>
          <w:szCs w:val="21"/>
        </w:rPr>
        <w:t>]</w:t>
      </w:r>
      <w:r>
        <w:rPr>
          <w:rFonts w:hint="eastAsia"/>
        </w:rPr>
        <w:t xml:space="preserve"> </w:t>
      </w:r>
      <w:r>
        <w:rPr>
          <w:rFonts w:hint="eastAsia" w:ascii="宋体" w:hAnsi="宋体"/>
          <w:szCs w:val="21"/>
        </w:rPr>
        <w:t>监测数据显示，本品可见以下不良反应报告：腹泻、腹痛、腹部不适、恶心、呕吐、皮疹、瘙痒、色素尿（尿色加深）、头晕、心悸等。</w:t>
      </w:r>
    </w:p>
    <w:p w14:paraId="649F8FFD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[</w:t>
      </w:r>
      <w:r>
        <w:rPr>
          <w:rFonts w:hint="eastAsia" w:ascii="宋体" w:hAnsi="宋体"/>
          <w:b/>
          <w:szCs w:val="21"/>
        </w:rPr>
        <w:t>禁忌</w:t>
      </w:r>
      <w:r>
        <w:rPr>
          <w:rFonts w:ascii="宋体" w:hAnsi="宋体"/>
          <w:b/>
          <w:szCs w:val="21"/>
        </w:rPr>
        <w:t>]</w:t>
      </w:r>
    </w:p>
    <w:p w14:paraId="1191CD4A">
      <w:pPr>
        <w:spacing w:line="0" w:lineRule="atLeas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1. 孕妇忌服</w:t>
      </w:r>
    </w:p>
    <w:p w14:paraId="758F0AFF">
      <w:pPr>
        <w:spacing w:line="0" w:lineRule="atLeas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2. 对本品及所含成份过敏者禁用</w:t>
      </w:r>
    </w:p>
    <w:p w14:paraId="515D17C3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[</w:t>
      </w:r>
      <w:r>
        <w:rPr>
          <w:rFonts w:hint="eastAsia" w:ascii="宋体" w:hAnsi="宋体"/>
          <w:b/>
          <w:szCs w:val="21"/>
        </w:rPr>
        <w:t>注意事项</w:t>
      </w:r>
      <w:r>
        <w:rPr>
          <w:rFonts w:ascii="宋体" w:hAnsi="宋体"/>
          <w:b/>
          <w:szCs w:val="21"/>
        </w:rPr>
        <w:t>]</w:t>
      </w:r>
    </w:p>
    <w:p w14:paraId="63FC95E9">
      <w:pPr>
        <w:spacing w:line="0" w:lineRule="atLeas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1. 忌烟、酒及辛辣、鱼腥食物。 </w:t>
      </w:r>
    </w:p>
    <w:p w14:paraId="6AD9A5DA">
      <w:pPr>
        <w:spacing w:line="0" w:lineRule="atLeas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2. 不宜在服药期间同时服用温补性、滋补性中药。 </w:t>
      </w:r>
    </w:p>
    <w:p w14:paraId="0BECD3D1">
      <w:pPr>
        <w:spacing w:line="0" w:lineRule="atLeas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3. 不适用于阴虚，虚火上炎引起的口舌生疮，头晕耳鸣。</w:t>
      </w:r>
    </w:p>
    <w:p w14:paraId="1BBFE73E">
      <w:pPr>
        <w:spacing w:line="0" w:lineRule="atLeas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4. 高血压、心脏病、肝病、糖尿病、肾病等患者应在医师指导下服用。 </w:t>
      </w:r>
    </w:p>
    <w:p w14:paraId="436A90E6">
      <w:pPr>
        <w:spacing w:line="0" w:lineRule="atLeas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5. 服药后大便次数增多且不成形者，应酌情减量。 </w:t>
      </w:r>
    </w:p>
    <w:p w14:paraId="1A129BD3">
      <w:pPr>
        <w:spacing w:line="0" w:lineRule="atLeas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6. 哺乳期妇女、年老体弱及脾虚便溏者应在医师指导下服用。</w:t>
      </w:r>
    </w:p>
    <w:p w14:paraId="2603010F">
      <w:pPr>
        <w:spacing w:line="0" w:lineRule="atLeas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7. 严格按用法用量服用，本品不宜长期服用。 </w:t>
      </w:r>
    </w:p>
    <w:p w14:paraId="044973AA">
      <w:pPr>
        <w:spacing w:line="0" w:lineRule="atLeas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8. 服药3天症状无缓解，应去医院就诊。 </w:t>
      </w:r>
    </w:p>
    <w:p w14:paraId="1E7AC89B">
      <w:pPr>
        <w:spacing w:line="0" w:lineRule="atLeas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9. 过敏体质者慎用。 </w:t>
      </w:r>
    </w:p>
    <w:p w14:paraId="6DDBB050">
      <w:pPr>
        <w:spacing w:line="0" w:lineRule="atLeas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10. 本品性状发生改变时禁止使用。 </w:t>
      </w:r>
    </w:p>
    <w:p w14:paraId="4696211D">
      <w:pPr>
        <w:spacing w:line="0" w:lineRule="atLeas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11. 请将本品放在儿童不能接触的地方。 </w:t>
      </w:r>
    </w:p>
    <w:p w14:paraId="71DA554D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12. 如正在使用其他药品，使用本品前请咨询医师或药师。</w:t>
      </w:r>
    </w:p>
    <w:p w14:paraId="4CAC0DE5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[药物相互作用]如与其他药物同时使用可能会发生药物相互作用，详情请咨询医师或药师</w:t>
      </w:r>
      <w:r>
        <w:rPr>
          <w:rFonts w:hint="eastAsia" w:ascii="宋体" w:hAnsi="宋体"/>
          <w:szCs w:val="21"/>
        </w:rPr>
        <w:t>。</w:t>
      </w:r>
    </w:p>
    <w:p w14:paraId="2176A92D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贮藏</w:t>
      </w:r>
      <w:r>
        <w:rPr>
          <w:rFonts w:ascii="宋体" w:hAnsi="宋体"/>
          <w:szCs w:val="21"/>
        </w:rPr>
        <w:t xml:space="preserve">] 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包装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有效期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执行标准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批准文号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说明书修订日期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药品上市许可持有人</w:t>
      </w:r>
      <w:r>
        <w:rPr>
          <w:rFonts w:ascii="宋体" w:hAnsi="宋体"/>
          <w:szCs w:val="21"/>
        </w:rPr>
        <w:t>]</w:t>
      </w:r>
    </w:p>
    <w:p w14:paraId="7298102F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szCs w:val="21"/>
        </w:rPr>
        <w:t>名</w:t>
      </w:r>
      <w:r>
        <w:rPr>
          <w:rFonts w:ascii="宋体" w:hAnsi="宋体"/>
          <w:szCs w:val="21"/>
        </w:rPr>
        <w:t xml:space="preserve">   </w:t>
      </w:r>
      <w:r>
        <w:rPr>
          <w:rFonts w:hint="eastAsia" w:ascii="宋体" w:hAnsi="宋体"/>
          <w:szCs w:val="21"/>
        </w:rPr>
        <w:t>称：</w:t>
      </w:r>
      <w:r>
        <w:rPr>
          <w:rFonts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注册地址：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邮政编码：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电话号码：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传真号码：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网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址：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生产企业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企业名称：</w:t>
      </w:r>
      <w:r>
        <w:rPr>
          <w:rFonts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生产地址：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b/>
          <w:szCs w:val="21"/>
        </w:rPr>
        <w:t>如有问题可与药品上市许可持有人联系。</w:t>
      </w:r>
    </w:p>
    <w:p w14:paraId="66DA2D7E">
      <w:pPr>
        <w:spacing w:line="0" w:lineRule="atLeast"/>
        <w:rPr>
          <w:rFonts w:ascii="宋体" w:hAnsi="宋体"/>
          <w:szCs w:val="21"/>
        </w:rPr>
      </w:pPr>
    </w:p>
    <w:p w14:paraId="1CB1A39B">
      <w:pPr>
        <w:spacing w:line="0" w:lineRule="atLeast"/>
        <w:rPr>
          <w:rFonts w:ascii="宋体" w:hAnsi="宋体"/>
          <w:szCs w:val="21"/>
        </w:rPr>
      </w:pPr>
    </w:p>
    <w:p w14:paraId="1A8835A4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（注：本说明书范本原则上不得删除，如原批准说明书的安全性内容较本范本内容更全面或</w:t>
      </w:r>
    </w:p>
    <w:p w14:paraId="6EBBBD13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者更严格的，应保留原批准内容。）</w:t>
      </w:r>
    </w:p>
    <w:p w14:paraId="080336B2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11459C7D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1D2AE9E9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3C3BB518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52FEA0EF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1E0793C0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6EDA161F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749F759C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31B7163B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56CB5727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2A5D77B9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7E1A5C60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4264E625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1DADB2E3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3FA90338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740B180E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1D67406F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690E55E5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6568210C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7E3AC2F6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63A33610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66FB3C71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7D8E7A4E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0BAE2AE0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43B6FE5F">
      <w:pPr>
        <w:spacing w:line="500" w:lineRule="exact"/>
        <w:rPr>
          <w:rFonts w:ascii="华文仿宋" w:hAnsi="华文仿宋" w:eastAsia="华文仿宋"/>
          <w:sz w:val="28"/>
          <w:szCs w:val="28"/>
        </w:rPr>
      </w:pPr>
    </w:p>
    <w:p w14:paraId="56E1D3C0">
      <w:pPr>
        <w:rPr>
          <w:rFonts w:ascii="Calibri" w:hAnsi="Calibri"/>
          <w:color w:val="000000"/>
          <w:szCs w:val="21"/>
        </w:rPr>
      </w:pPr>
    </w:p>
    <w:p w14:paraId="10A075C0">
      <w:pPr>
        <w:rPr>
          <w:rFonts w:ascii="Calibri" w:hAnsi="Calibri"/>
          <w:color w:val="000000"/>
          <w:szCs w:val="21"/>
        </w:rPr>
      </w:pPr>
    </w:p>
    <w:p w14:paraId="2A6E5A53">
      <w:pPr>
        <w:keepNext/>
        <w:keepLines/>
        <w:spacing w:before="0" w:after="0" w:line="600" w:lineRule="exact"/>
        <w:jc w:val="center"/>
        <w:outlineLvl w:val="1"/>
        <w:rPr>
          <w:rFonts w:ascii="宋体" w:hAnsi="宋体" w:cs="宋体"/>
          <w:b/>
          <w:sz w:val="30"/>
          <w:szCs w:val="20"/>
        </w:rPr>
      </w:pPr>
      <w:r>
        <w:rPr>
          <w:rFonts w:hint="eastAsia" w:ascii="宋体" w:hAnsi="宋体" w:cs="宋体"/>
          <w:b/>
          <w:sz w:val="30"/>
          <w:szCs w:val="20"/>
        </w:rPr>
        <w:t>芪药消渴胶囊说明书</w:t>
      </w:r>
    </w:p>
    <w:p w14:paraId="51580151">
      <w:pPr>
        <w:spacing w:line="300" w:lineRule="exact"/>
        <w:jc w:val="center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请仔细阅读说明书并按说明使用或在药师指导下购买和使用</w:t>
      </w:r>
    </w:p>
    <w:p w14:paraId="25A8CDF3">
      <w:pPr>
        <w:spacing w:line="0" w:lineRule="atLeast"/>
        <w:jc w:val="center"/>
        <w:rPr>
          <w:rFonts w:ascii="宋体" w:hAnsi="宋体"/>
          <w:b/>
        </w:rPr>
      </w:pPr>
      <w:r>
        <w:rPr>
          <w:rFonts w:hint="eastAsia" w:ascii="宋体" w:hAnsi="宋体"/>
          <w:b/>
        </w:rPr>
        <w:t>本品仅为非胰岛素依赖型糖尿病的辅助治疗药品，应当在医生确诊后使用，不可替代治疗用药品</w:t>
      </w:r>
    </w:p>
    <w:p w14:paraId="4C919820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药品名称</w:t>
      </w:r>
      <w:r>
        <w:rPr>
          <w:rFonts w:ascii="宋体" w:hAnsi="宋体"/>
          <w:szCs w:val="21"/>
        </w:rPr>
        <w:t>]</w:t>
      </w:r>
    </w:p>
    <w:p w14:paraId="7466A385">
      <w:pPr>
        <w:spacing w:line="2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通用名称：芪药消渴胶囊</w:t>
      </w:r>
    </w:p>
    <w:p w14:paraId="66D495EF">
      <w:pPr>
        <w:spacing w:line="2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汉语拼音：</w:t>
      </w:r>
    </w:p>
    <w:p w14:paraId="58C1B9EC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成份</w:t>
      </w:r>
      <w:r>
        <w:rPr>
          <w:rFonts w:ascii="宋体" w:hAnsi="宋体"/>
          <w:szCs w:val="21"/>
        </w:rPr>
        <w:t>]</w:t>
      </w:r>
    </w:p>
    <w:p w14:paraId="64CD8AF1">
      <w:pPr>
        <w:spacing w:line="280" w:lineRule="exac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性状</w:t>
      </w:r>
      <w:r>
        <w:rPr>
          <w:rFonts w:ascii="宋体" w:hAnsi="宋体"/>
          <w:szCs w:val="21"/>
        </w:rPr>
        <w:t>]</w:t>
      </w:r>
    </w:p>
    <w:p w14:paraId="784C27D1">
      <w:pPr>
        <w:spacing w:line="280" w:lineRule="exac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功能主治</w:t>
      </w:r>
      <w:r>
        <w:rPr>
          <w:rFonts w:ascii="宋体" w:hAnsi="宋体"/>
          <w:szCs w:val="21"/>
        </w:rPr>
        <w:t>]</w:t>
      </w:r>
      <w:r>
        <w:rPr>
          <w:rFonts w:hint="eastAsia" w:ascii="宋体" w:hAnsi="宋体"/>
          <w:szCs w:val="21"/>
        </w:rPr>
        <w:t>益气养阴，健脾补肾。用于非胰岛素依赖型糖尿病（属气阴不足，脾肾两虚证）的辅助治疗。症见:气短乏力、腰膝酸软、口干咽燥、小便数多；或自汗、手足心热、头眩耳鸣、肌肉消瘦、舌红少苔或舌淡体胖等。</w:t>
      </w:r>
    </w:p>
    <w:p w14:paraId="2904FFF7">
      <w:pPr>
        <w:spacing w:line="280" w:lineRule="exac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规格</w:t>
      </w:r>
      <w:r>
        <w:rPr>
          <w:rFonts w:ascii="宋体" w:hAnsi="宋体"/>
          <w:szCs w:val="21"/>
        </w:rPr>
        <w:t>]</w:t>
      </w:r>
      <w:bookmarkStart w:id="5" w:name="OLE_LINK5"/>
      <w:bookmarkStart w:id="6" w:name="OLE_LINK6"/>
      <w:r>
        <w:rPr>
          <w:rFonts w:hint="eastAsia" w:ascii="宋体" w:hAnsi="宋体"/>
          <w:szCs w:val="21"/>
        </w:rPr>
        <w:t>每粒装0.4克（相当于饮片2.2克）</w:t>
      </w:r>
      <w:bookmarkEnd w:id="5"/>
      <w:bookmarkEnd w:id="6"/>
    </w:p>
    <w:p w14:paraId="459D18F2">
      <w:pPr>
        <w:spacing w:line="280" w:lineRule="exac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用法用量</w:t>
      </w:r>
      <w:r>
        <w:rPr>
          <w:rFonts w:ascii="宋体" w:hAnsi="宋体"/>
          <w:szCs w:val="21"/>
        </w:rPr>
        <w:t>]</w:t>
      </w:r>
      <w:r>
        <w:rPr>
          <w:rFonts w:hint="eastAsia" w:ascii="宋体" w:hAnsi="宋体"/>
          <w:szCs w:val="21"/>
        </w:rPr>
        <w:t>餐后温开水送服。一次6粒，一日3次。4周为1个疗程。</w:t>
      </w:r>
    </w:p>
    <w:p w14:paraId="6CECCA9B">
      <w:pPr>
        <w:spacing w:line="280" w:lineRule="exac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不良反应</w:t>
      </w:r>
      <w:r>
        <w:rPr>
          <w:rFonts w:ascii="宋体" w:hAnsi="宋体"/>
          <w:szCs w:val="21"/>
        </w:rPr>
        <w:t>]</w:t>
      </w:r>
      <w:r>
        <w:rPr>
          <w:rFonts w:hint="eastAsia" w:ascii="宋体" w:hAnsi="宋体" w:cs="微软雅黑"/>
        </w:rPr>
        <w:t>监测及文献数据显示，本品可见以下不良反应：恶心、呕吐、食欲下降、腹痛、腹胀、皮肤瘙痒、水肿、头晕等。</w:t>
      </w:r>
    </w:p>
    <w:p w14:paraId="15A58453">
      <w:pPr>
        <w:spacing w:line="0" w:lineRule="atLeast"/>
        <w:rPr>
          <w:b/>
          <w:bCs/>
          <w:szCs w:val="21"/>
        </w:rPr>
      </w:pPr>
      <w:r>
        <w:rPr>
          <w:rFonts w:ascii="宋体" w:hAnsi="宋体"/>
          <w:b/>
          <w:bCs/>
          <w:szCs w:val="21"/>
        </w:rPr>
        <w:t>[</w:t>
      </w:r>
      <w:r>
        <w:rPr>
          <w:rFonts w:hint="eastAsia" w:ascii="宋体" w:hAnsi="宋体"/>
          <w:b/>
          <w:bCs/>
          <w:szCs w:val="21"/>
        </w:rPr>
        <w:t>禁忌</w:t>
      </w:r>
      <w:r>
        <w:rPr>
          <w:rFonts w:ascii="宋体" w:hAnsi="宋体"/>
          <w:b/>
          <w:bCs/>
          <w:szCs w:val="21"/>
        </w:rPr>
        <w:t>]</w:t>
      </w:r>
    </w:p>
    <w:p w14:paraId="514EF292">
      <w:pPr>
        <w:spacing w:line="0" w:lineRule="atLeast"/>
        <w:rPr>
          <w:rFonts w:hint="eastAsia"/>
          <w:b/>
          <w:bCs/>
          <w:szCs w:val="21"/>
        </w:rPr>
      </w:pPr>
      <w:r>
        <w:rPr>
          <w:rFonts w:hint="eastAsia"/>
          <w:b/>
          <w:bCs/>
          <w:szCs w:val="21"/>
        </w:rPr>
        <w:t>1.孕妇禁用。</w:t>
      </w:r>
    </w:p>
    <w:p w14:paraId="68238EE2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2.对本品及所含成份过敏者禁用。</w:t>
      </w:r>
    </w:p>
    <w:p w14:paraId="0B9854D8">
      <w:pPr>
        <w:spacing w:line="0" w:lineRule="atLeast"/>
        <w:rPr>
          <w:rFonts w:ascii="宋体" w:hAnsi="宋体"/>
          <w:b/>
          <w:bCs/>
          <w:szCs w:val="21"/>
        </w:rPr>
      </w:pPr>
      <w:r>
        <w:rPr>
          <w:rFonts w:ascii="宋体" w:hAnsi="宋体"/>
          <w:b/>
          <w:bCs/>
          <w:szCs w:val="21"/>
        </w:rPr>
        <w:t>[</w:t>
      </w:r>
      <w:r>
        <w:rPr>
          <w:rFonts w:hint="eastAsia" w:ascii="Times" w:hAnsi="Times"/>
          <w:b/>
          <w:bCs/>
          <w:szCs w:val="21"/>
        </w:rPr>
        <w:t>注意事项</w:t>
      </w:r>
      <w:r>
        <w:rPr>
          <w:rFonts w:ascii="宋体" w:hAnsi="宋体"/>
          <w:b/>
          <w:bCs/>
          <w:szCs w:val="21"/>
        </w:rPr>
        <w:t>]</w:t>
      </w:r>
    </w:p>
    <w:p w14:paraId="0255AC79">
      <w:pPr>
        <w:spacing w:line="0" w:lineRule="atLeast"/>
        <w:rPr>
          <w:rFonts w:ascii="Times" w:hAnsi="Times"/>
          <w:b/>
          <w:bCs/>
          <w:szCs w:val="21"/>
        </w:rPr>
      </w:pPr>
      <w:r>
        <w:rPr>
          <w:rFonts w:hint="eastAsia" w:ascii="Times" w:hAnsi="Times"/>
          <w:b/>
          <w:bCs/>
          <w:szCs w:val="21"/>
        </w:rPr>
        <w:t>1.服药期间宜饮食清淡，忌食肥甘油腻之品。忌烟酒、辛辣及高糖饮食。</w:t>
      </w:r>
    </w:p>
    <w:p w14:paraId="5B4E8B93">
      <w:pPr>
        <w:spacing w:line="0" w:lineRule="atLeast"/>
        <w:rPr>
          <w:rFonts w:hint="eastAsia" w:ascii="Times" w:hAnsi="Times"/>
          <w:b/>
          <w:bCs/>
          <w:szCs w:val="21"/>
        </w:rPr>
      </w:pPr>
      <w:r>
        <w:rPr>
          <w:rFonts w:hint="eastAsia" w:ascii="Times" w:hAnsi="Times"/>
          <w:b/>
          <w:bCs/>
          <w:szCs w:val="21"/>
        </w:rPr>
        <w:t>2</w:t>
      </w:r>
      <w:r>
        <w:rPr>
          <w:rFonts w:ascii="Times" w:hAnsi="Times"/>
          <w:b/>
          <w:bCs/>
          <w:szCs w:val="21"/>
        </w:rPr>
        <w:t>.</w:t>
      </w:r>
      <w:r>
        <w:rPr>
          <w:rFonts w:hint="eastAsia" w:ascii="Times" w:hAnsi="Times"/>
          <w:b/>
          <w:bCs/>
          <w:szCs w:val="21"/>
        </w:rPr>
        <w:t>避免与牛奶、菠菜等含钙、铁丰富的食物同服（间隔2小时以上）。</w:t>
      </w:r>
    </w:p>
    <w:p w14:paraId="1477B170">
      <w:pPr>
        <w:spacing w:line="0" w:lineRule="atLeast"/>
        <w:rPr>
          <w:rFonts w:hint="eastAsia" w:ascii="Times" w:hAnsi="Times"/>
          <w:b/>
          <w:bCs/>
          <w:szCs w:val="21"/>
        </w:rPr>
      </w:pPr>
      <w:r>
        <w:rPr>
          <w:rFonts w:ascii="Times" w:hAnsi="Times"/>
          <w:b/>
          <w:bCs/>
          <w:szCs w:val="21"/>
        </w:rPr>
        <w:t>3</w:t>
      </w:r>
      <w:r>
        <w:rPr>
          <w:rFonts w:hint="eastAsia" w:ascii="Times" w:hAnsi="Times"/>
          <w:b/>
          <w:bCs/>
          <w:szCs w:val="21"/>
        </w:rPr>
        <w:t>.感冒发热、表实热盛者慎用。服药期间不宜与清热解毒类药物同时服用。</w:t>
      </w:r>
    </w:p>
    <w:p w14:paraId="7015B02D">
      <w:pPr>
        <w:spacing w:line="0" w:lineRule="atLeast"/>
        <w:rPr>
          <w:rFonts w:ascii="Times" w:hAnsi="Times"/>
          <w:b/>
          <w:bCs/>
          <w:szCs w:val="21"/>
        </w:rPr>
      </w:pPr>
      <w:r>
        <w:rPr>
          <w:rFonts w:ascii="Times" w:hAnsi="Times"/>
          <w:b/>
          <w:bCs/>
          <w:szCs w:val="21"/>
        </w:rPr>
        <w:t>4</w:t>
      </w:r>
      <w:r>
        <w:rPr>
          <w:rFonts w:hint="eastAsia" w:ascii="Times" w:hAnsi="Times"/>
          <w:b/>
          <w:bCs/>
          <w:szCs w:val="21"/>
        </w:rPr>
        <w:t>.本品仅为非胰岛素依赖型糖尿病的辅助治疗药品，应当在医生确诊后使用，不可替代治疗用药品。</w:t>
      </w:r>
    </w:p>
    <w:p w14:paraId="6CE2ADFA">
      <w:pPr>
        <w:spacing w:line="0" w:lineRule="atLeast"/>
        <w:rPr>
          <w:rFonts w:hint="eastAsia" w:ascii="Times" w:hAnsi="Times"/>
          <w:b/>
          <w:bCs/>
          <w:szCs w:val="21"/>
        </w:rPr>
      </w:pPr>
      <w:r>
        <w:rPr>
          <w:rFonts w:hint="eastAsia" w:ascii="Times" w:hAnsi="Times"/>
          <w:b/>
          <w:bCs/>
          <w:szCs w:val="21"/>
        </w:rPr>
        <w:t>5.第一次使用本品前应当咨询医生，治疗期间应当定期到医院进行检查。</w:t>
      </w:r>
    </w:p>
    <w:p w14:paraId="37E9903E">
      <w:pPr>
        <w:spacing w:line="0" w:lineRule="atLeast"/>
        <w:rPr>
          <w:rFonts w:hint="eastAsia" w:ascii="Times" w:hAnsi="Times"/>
          <w:b/>
          <w:bCs/>
          <w:szCs w:val="21"/>
        </w:rPr>
      </w:pPr>
      <w:r>
        <w:rPr>
          <w:rFonts w:hint="eastAsia" w:ascii="Times" w:hAnsi="Times"/>
          <w:b/>
          <w:bCs/>
          <w:szCs w:val="21"/>
        </w:rPr>
        <w:t>6.服药期间应当定期监测血糖水平，若血糖控制不佳，或出现低血糖，应停药并去医院就诊。</w:t>
      </w:r>
    </w:p>
    <w:p w14:paraId="172AD33C">
      <w:pPr>
        <w:spacing w:line="0" w:lineRule="atLeast"/>
        <w:rPr>
          <w:rFonts w:hint="eastAsia" w:ascii="Times" w:hAnsi="Times"/>
          <w:b/>
          <w:bCs/>
          <w:szCs w:val="21"/>
        </w:rPr>
      </w:pPr>
      <w:r>
        <w:rPr>
          <w:rFonts w:hint="eastAsia" w:ascii="Times" w:hAnsi="Times"/>
          <w:b/>
          <w:bCs/>
          <w:szCs w:val="21"/>
        </w:rPr>
        <w:t>7.若血糖水平较高，或伴有持续呕吐、体重快速下降、视物模糊、脱水等症状时，应去医院就诊。</w:t>
      </w:r>
    </w:p>
    <w:p w14:paraId="300C86D4">
      <w:pPr>
        <w:spacing w:line="0" w:lineRule="atLeast"/>
        <w:rPr>
          <w:rFonts w:hint="eastAsia" w:ascii="Times" w:hAnsi="Times"/>
          <w:b/>
          <w:bCs/>
          <w:szCs w:val="21"/>
        </w:rPr>
      </w:pPr>
      <w:r>
        <w:rPr>
          <w:rFonts w:hint="eastAsia" w:ascii="Times" w:hAnsi="Times"/>
          <w:b/>
          <w:bCs/>
          <w:szCs w:val="21"/>
        </w:rPr>
        <w:t>8.按照用法用量服用，本品不宜过量服用；如确需长期用药，服用前应当咨询医生。</w:t>
      </w:r>
    </w:p>
    <w:p w14:paraId="5C49AF14">
      <w:pPr>
        <w:spacing w:line="0" w:lineRule="atLeast"/>
        <w:rPr>
          <w:rFonts w:hint="eastAsia" w:ascii="Times" w:hAnsi="Times"/>
          <w:b/>
          <w:bCs/>
          <w:szCs w:val="21"/>
        </w:rPr>
      </w:pPr>
      <w:r>
        <w:rPr>
          <w:rFonts w:hint="eastAsia" w:ascii="Times" w:hAnsi="Times"/>
          <w:b/>
          <w:bCs/>
          <w:szCs w:val="21"/>
        </w:rPr>
        <w:t>9.高血压、心脏病、肝病、肾病等患者应在医师指导下服用。</w:t>
      </w:r>
    </w:p>
    <w:p w14:paraId="0E06209F">
      <w:pPr>
        <w:spacing w:line="0" w:lineRule="atLeast"/>
        <w:rPr>
          <w:rFonts w:hint="eastAsia" w:ascii="Times" w:hAnsi="Times"/>
          <w:b/>
          <w:bCs/>
          <w:szCs w:val="21"/>
        </w:rPr>
      </w:pPr>
      <w:r>
        <w:rPr>
          <w:rFonts w:hint="eastAsia" w:ascii="Times" w:hAnsi="Times"/>
          <w:b/>
          <w:bCs/>
          <w:szCs w:val="21"/>
        </w:rPr>
        <w:t>10.哺乳期妇女慎用，年老体弱者应在医师指导下服用。</w:t>
      </w:r>
    </w:p>
    <w:p w14:paraId="16BB7881">
      <w:pPr>
        <w:spacing w:line="0" w:lineRule="atLeast"/>
        <w:rPr>
          <w:rFonts w:hint="eastAsia" w:ascii="Times" w:hAnsi="Times"/>
          <w:b/>
          <w:bCs/>
          <w:szCs w:val="21"/>
        </w:rPr>
      </w:pPr>
      <w:r>
        <w:rPr>
          <w:rFonts w:hint="eastAsia" w:ascii="Times" w:hAnsi="Times"/>
          <w:b/>
          <w:bCs/>
          <w:szCs w:val="21"/>
        </w:rPr>
        <w:t>11.服药期间症状无缓解，或症状加重，或出现新的严重症状，如胸闷、心悸等，应停药并去医院就诊。</w:t>
      </w:r>
    </w:p>
    <w:p w14:paraId="14780B54">
      <w:pPr>
        <w:spacing w:line="0" w:lineRule="atLeast"/>
        <w:rPr>
          <w:rFonts w:hint="eastAsia" w:ascii="Times" w:hAnsi="Times"/>
          <w:b/>
          <w:bCs/>
          <w:szCs w:val="21"/>
        </w:rPr>
      </w:pPr>
      <w:r>
        <w:rPr>
          <w:rFonts w:hint="eastAsia" w:ascii="Times" w:hAnsi="Times"/>
          <w:b/>
          <w:bCs/>
          <w:szCs w:val="21"/>
        </w:rPr>
        <w:t>12.本品含西洋参、天花粉，不宜与含藜芦、川乌、制川乌、草乌、制草乌、附子的中药方剂或成药同时服用。</w:t>
      </w:r>
    </w:p>
    <w:p w14:paraId="7CDA1AF2">
      <w:pPr>
        <w:spacing w:line="0" w:lineRule="atLeast"/>
        <w:rPr>
          <w:rFonts w:hint="eastAsia" w:ascii="Times" w:hAnsi="Times"/>
          <w:b/>
          <w:bCs/>
          <w:szCs w:val="21"/>
        </w:rPr>
      </w:pPr>
      <w:r>
        <w:rPr>
          <w:rFonts w:hint="eastAsia" w:ascii="Times" w:hAnsi="Times"/>
          <w:b/>
          <w:bCs/>
          <w:szCs w:val="21"/>
        </w:rPr>
        <w:t>13.过敏体质者慎用。</w:t>
      </w:r>
    </w:p>
    <w:p w14:paraId="72E8BF53">
      <w:pPr>
        <w:spacing w:line="0" w:lineRule="atLeast"/>
        <w:rPr>
          <w:rFonts w:hint="eastAsia" w:ascii="Times" w:hAnsi="Times"/>
          <w:b/>
          <w:bCs/>
          <w:szCs w:val="21"/>
        </w:rPr>
      </w:pPr>
      <w:r>
        <w:rPr>
          <w:rFonts w:hint="eastAsia" w:ascii="Times" w:hAnsi="Times"/>
          <w:b/>
          <w:bCs/>
          <w:szCs w:val="21"/>
        </w:rPr>
        <w:t>14.本品性状发生改变时禁止使用。</w:t>
      </w:r>
    </w:p>
    <w:p w14:paraId="6214AB75">
      <w:pPr>
        <w:spacing w:line="0" w:lineRule="atLeast"/>
        <w:rPr>
          <w:rFonts w:hint="eastAsia" w:ascii="Times" w:hAnsi="Times"/>
          <w:b/>
          <w:bCs/>
          <w:szCs w:val="21"/>
        </w:rPr>
      </w:pPr>
      <w:r>
        <w:rPr>
          <w:rFonts w:hint="eastAsia" w:ascii="Times" w:hAnsi="Times"/>
          <w:b/>
          <w:bCs/>
          <w:szCs w:val="21"/>
        </w:rPr>
        <w:t>15.请将本品放在儿童不能接触的地方。</w:t>
      </w:r>
    </w:p>
    <w:p w14:paraId="71B8DFE5">
      <w:pPr>
        <w:spacing w:line="0" w:lineRule="atLeast"/>
        <w:rPr>
          <w:rFonts w:ascii="Times" w:hAnsi="Times"/>
          <w:b/>
          <w:bCs/>
          <w:szCs w:val="21"/>
        </w:rPr>
      </w:pPr>
      <w:r>
        <w:rPr>
          <w:rFonts w:hint="eastAsia" w:ascii="Times" w:hAnsi="Times"/>
          <w:b/>
          <w:bCs/>
          <w:szCs w:val="21"/>
        </w:rPr>
        <w:t>16.如正在使用其他药品，使用本品前请咨询医师或药师。</w:t>
      </w:r>
    </w:p>
    <w:p w14:paraId="01F11D5F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药物相互作用]如与其他药物同时使用可能会发生药物相互作用，详情请咨询医师或药师。</w:t>
      </w:r>
    </w:p>
    <w:p w14:paraId="18D2EF2C">
      <w:pPr>
        <w:rPr>
          <w:rFonts w:ascii="宋体" w:hAnsi="宋体"/>
        </w:rPr>
      </w:pPr>
      <w:r>
        <w:rPr>
          <w:rFonts w:ascii="宋体" w:hAnsi="宋体"/>
        </w:rPr>
        <w:t>[</w:t>
      </w:r>
      <w:r>
        <w:rPr>
          <w:rFonts w:hint="eastAsia" w:ascii="宋体" w:hAnsi="宋体"/>
        </w:rPr>
        <w:t>贮藏</w:t>
      </w:r>
      <w:r>
        <w:rPr>
          <w:rFonts w:ascii="宋体" w:hAnsi="宋体"/>
        </w:rPr>
        <w:t xml:space="preserve">] 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包装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有效期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执行标准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批准文号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说明书修订日期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药品上市许可持有人</w:t>
      </w:r>
      <w:r>
        <w:rPr>
          <w:rFonts w:ascii="宋体" w:hAnsi="宋体"/>
        </w:rPr>
        <w:t>]</w:t>
      </w:r>
    </w:p>
    <w:p w14:paraId="41FF2843">
      <w:pPr>
        <w:rPr>
          <w:rFonts w:ascii="宋体" w:hAnsi="宋体"/>
        </w:rPr>
      </w:pPr>
      <w:r>
        <w:rPr>
          <w:rFonts w:hint="eastAsia" w:ascii="宋体" w:hAnsi="宋体"/>
        </w:rPr>
        <w:t>名</w:t>
      </w:r>
      <w:r>
        <w:rPr>
          <w:rFonts w:ascii="宋体" w:hAnsi="宋体"/>
        </w:rPr>
        <w:t xml:space="preserve">    </w:t>
      </w:r>
      <w:r>
        <w:rPr>
          <w:rFonts w:hint="eastAsia" w:ascii="宋体" w:hAnsi="宋体"/>
        </w:rPr>
        <w:t>称：</w:t>
      </w:r>
      <w:r>
        <w:rPr>
          <w:rFonts w:ascii="宋体" w:hAnsi="宋体"/>
        </w:rPr>
        <w:t xml:space="preserve"> 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注册地址：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邮政编码：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电话号码：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传真号码：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网</w:t>
      </w:r>
      <w:r>
        <w:rPr>
          <w:rFonts w:ascii="宋体" w:hAnsi="宋体"/>
        </w:rPr>
        <w:t xml:space="preserve">    </w:t>
      </w:r>
      <w:r>
        <w:rPr>
          <w:rFonts w:hint="eastAsia" w:ascii="宋体" w:hAnsi="宋体"/>
        </w:rPr>
        <w:t>址：</w:t>
      </w:r>
    </w:p>
    <w:p w14:paraId="5456ECB2">
      <w:pPr>
        <w:rPr>
          <w:rFonts w:ascii="宋体" w:hAnsi="宋体"/>
          <w:b/>
          <w:bCs/>
        </w:rPr>
      </w:pPr>
      <w:r>
        <w:rPr>
          <w:rFonts w:ascii="宋体" w:hAnsi="宋体"/>
        </w:rPr>
        <w:t>[</w:t>
      </w:r>
      <w:r>
        <w:rPr>
          <w:rFonts w:hint="eastAsia" w:ascii="宋体" w:hAnsi="宋体"/>
        </w:rPr>
        <w:t>生产企业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企业名称：</w:t>
      </w:r>
      <w:r>
        <w:rPr>
          <w:rFonts w:ascii="宋体" w:hAnsi="宋体"/>
        </w:rPr>
        <w:t xml:space="preserve"> 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生产地址：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  <w:b/>
          <w:bCs/>
        </w:rPr>
        <w:t>如有问题可与药品上市许可持有人联系</w:t>
      </w:r>
    </w:p>
    <w:p w14:paraId="55D5A191">
      <w:pPr>
        <w:rPr>
          <w:rFonts w:ascii="宋体" w:hAnsi="宋体"/>
          <w:b/>
          <w:bCs/>
        </w:rPr>
      </w:pPr>
    </w:p>
    <w:p w14:paraId="1FFCE367">
      <w:pPr>
        <w:rPr>
          <w:rFonts w:ascii="宋体" w:hAnsi="宋体"/>
          <w:b/>
          <w:bCs/>
        </w:rPr>
      </w:pPr>
    </w:p>
    <w:p w14:paraId="2E5E5620">
      <w:pPr>
        <w:rPr>
          <w:b/>
          <w:bCs/>
        </w:rPr>
      </w:pPr>
      <w:r>
        <w:rPr>
          <w:rFonts w:hint="eastAsia" w:ascii="Calibri" w:hAnsi="Calibri"/>
          <w:color w:val="000000"/>
          <w:szCs w:val="21"/>
        </w:rPr>
        <w:t>（注：本说明书范本原则上不得删减，如原批准说明书的安全性内容较本范本内容更全面或者更严格的，应当保留原批准内容。）</w:t>
      </w:r>
    </w:p>
    <w:p w14:paraId="788795F2"/>
    <w:p w14:paraId="1415E0C9">
      <w:pPr>
        <w:keepNext/>
        <w:keepLines/>
        <w:spacing w:before="260" w:after="260" w:line="408" w:lineRule="auto"/>
        <w:jc w:val="center"/>
        <w:outlineLvl w:val="1"/>
        <w:rPr>
          <w:rFonts w:ascii="宋体" w:hAnsi="宋体" w:cs="宋体"/>
          <w:b/>
          <w:sz w:val="30"/>
          <w:szCs w:val="20"/>
        </w:rPr>
      </w:pPr>
    </w:p>
    <w:p w14:paraId="1F7765B2">
      <w:pPr>
        <w:rPr>
          <w:rFonts w:hint="eastAsia" w:ascii="仿宋_GB2312" w:hAnsi="华文仿宋" w:eastAsia="仿宋_GB2312"/>
          <w:sz w:val="32"/>
          <w:szCs w:val="32"/>
        </w:rPr>
      </w:pPr>
    </w:p>
    <w:p w14:paraId="29A81CB8">
      <w:pPr>
        <w:rPr>
          <w:rFonts w:hint="eastAsia" w:ascii="仿宋_GB2312" w:hAnsi="华文仿宋" w:eastAsia="仿宋_GB2312"/>
          <w:sz w:val="32"/>
          <w:szCs w:val="32"/>
        </w:rPr>
      </w:pPr>
    </w:p>
    <w:p w14:paraId="202AE3EE">
      <w:pPr>
        <w:rPr>
          <w:rFonts w:hint="eastAsia" w:ascii="仿宋_GB2312" w:hAnsi="华文仿宋" w:eastAsia="仿宋_GB2312"/>
          <w:sz w:val="32"/>
          <w:szCs w:val="32"/>
        </w:rPr>
      </w:pPr>
    </w:p>
    <w:p w14:paraId="4073EBF0">
      <w:pPr>
        <w:rPr>
          <w:rFonts w:hint="eastAsia" w:ascii="仿宋_GB2312" w:hAnsi="华文仿宋" w:eastAsia="仿宋_GB2312"/>
          <w:sz w:val="32"/>
          <w:szCs w:val="32"/>
        </w:rPr>
      </w:pPr>
    </w:p>
    <w:p w14:paraId="5FAA395C">
      <w:pPr>
        <w:rPr>
          <w:rFonts w:hint="eastAsia" w:ascii="仿宋_GB2312" w:hAnsi="华文仿宋" w:eastAsia="仿宋_GB2312"/>
          <w:sz w:val="32"/>
          <w:szCs w:val="32"/>
        </w:rPr>
      </w:pPr>
    </w:p>
    <w:p w14:paraId="3809DE88">
      <w:pPr>
        <w:rPr>
          <w:rFonts w:hint="eastAsia" w:ascii="仿宋_GB2312" w:hAnsi="华文仿宋" w:eastAsia="仿宋_GB2312"/>
          <w:sz w:val="32"/>
          <w:szCs w:val="32"/>
        </w:rPr>
      </w:pPr>
    </w:p>
    <w:p w14:paraId="5C773859">
      <w:pPr>
        <w:rPr>
          <w:rFonts w:hint="eastAsia" w:ascii="仿宋_GB2312" w:hAnsi="华文仿宋" w:eastAsia="仿宋_GB2312"/>
          <w:sz w:val="32"/>
          <w:szCs w:val="32"/>
        </w:rPr>
      </w:pPr>
    </w:p>
    <w:p w14:paraId="0F96F1B6">
      <w:pPr>
        <w:rPr>
          <w:rFonts w:hint="eastAsia" w:ascii="仿宋_GB2312" w:hAnsi="华文仿宋" w:eastAsia="仿宋_GB2312"/>
          <w:sz w:val="32"/>
          <w:szCs w:val="32"/>
        </w:rPr>
      </w:pPr>
    </w:p>
    <w:p w14:paraId="1AD39A7D">
      <w:pPr>
        <w:rPr>
          <w:rFonts w:hint="eastAsia" w:ascii="仿宋_GB2312" w:hAnsi="华文仿宋" w:eastAsia="仿宋_GB2312"/>
          <w:sz w:val="32"/>
          <w:szCs w:val="32"/>
        </w:rPr>
      </w:pPr>
    </w:p>
    <w:p w14:paraId="6C9EE61D">
      <w:pPr>
        <w:rPr>
          <w:rFonts w:hint="eastAsia" w:ascii="仿宋_GB2312" w:hAnsi="华文仿宋" w:eastAsia="仿宋_GB2312"/>
          <w:sz w:val="32"/>
          <w:szCs w:val="32"/>
        </w:rPr>
      </w:pPr>
    </w:p>
    <w:p w14:paraId="2440F208">
      <w:pPr>
        <w:rPr>
          <w:rFonts w:hint="eastAsia" w:ascii="仿宋_GB2312" w:hAnsi="华文仿宋" w:eastAsia="仿宋_GB2312"/>
          <w:sz w:val="32"/>
          <w:szCs w:val="32"/>
        </w:rPr>
      </w:pPr>
    </w:p>
    <w:p w14:paraId="3A29DE10">
      <w:pPr>
        <w:rPr>
          <w:rFonts w:hint="eastAsia" w:ascii="仿宋_GB2312" w:hAnsi="华文仿宋" w:eastAsia="仿宋_GB2312"/>
          <w:sz w:val="32"/>
          <w:szCs w:val="32"/>
        </w:rPr>
      </w:pPr>
    </w:p>
    <w:p w14:paraId="3CF37E5A">
      <w:pPr>
        <w:keepNext/>
        <w:keepLines/>
        <w:spacing w:before="0" w:after="0" w:line="600" w:lineRule="exact"/>
        <w:jc w:val="center"/>
        <w:outlineLvl w:val="1"/>
        <w:rPr>
          <w:rFonts w:hint="eastAsia" w:ascii="宋体" w:hAnsi="宋体" w:cs="宋体"/>
          <w:b/>
          <w:color w:val="auto"/>
          <w:sz w:val="30"/>
          <w:szCs w:val="20"/>
        </w:rPr>
      </w:pPr>
      <w:r>
        <w:rPr>
          <w:rFonts w:hint="eastAsia" w:ascii="宋体" w:hAnsi="宋体" w:cs="宋体"/>
          <w:b/>
          <w:color w:val="auto"/>
          <w:sz w:val="30"/>
          <w:szCs w:val="20"/>
        </w:rPr>
        <w:t>芩暴红止咳颗粒说明书</w:t>
      </w:r>
    </w:p>
    <w:p w14:paraId="67C64D3B">
      <w:pPr>
        <w:spacing w:line="300" w:lineRule="exact"/>
        <w:jc w:val="center"/>
        <w:rPr>
          <w:rFonts w:hint="eastAsia"/>
          <w:b/>
          <w:color w:val="auto"/>
          <w:szCs w:val="22"/>
        </w:rPr>
      </w:pPr>
      <w:r>
        <w:rPr>
          <w:rFonts w:hint="eastAsia"/>
          <w:b/>
          <w:color w:val="auto"/>
          <w:szCs w:val="22"/>
        </w:rPr>
        <w:t>请仔细阅读说明书并按说明使用或在药师指导下购买和使用</w:t>
      </w:r>
    </w:p>
    <w:p w14:paraId="2FA2CE59">
      <w:pPr>
        <w:spacing w:line="300" w:lineRule="exact"/>
        <w:jc w:val="center"/>
        <w:rPr>
          <w:b/>
          <w:bCs/>
          <w:color w:val="auto"/>
          <w:szCs w:val="21"/>
        </w:rPr>
      </w:pPr>
      <w:r>
        <w:rPr>
          <w:rFonts w:hint="eastAsia"/>
          <w:b/>
          <w:bCs/>
          <w:color w:val="auto"/>
          <w:szCs w:val="21"/>
        </w:rPr>
        <w:t>严格按照用法用量服用，不长期服用</w:t>
      </w:r>
    </w:p>
    <w:p w14:paraId="34D9DF2E">
      <w:pPr>
        <w:spacing w:line="300" w:lineRule="exact"/>
        <w:jc w:val="center"/>
        <w:rPr>
          <w:b/>
          <w:bCs/>
          <w:color w:val="auto"/>
          <w:szCs w:val="21"/>
        </w:rPr>
      </w:pPr>
    </w:p>
    <w:p w14:paraId="595EC747">
      <w:pPr>
        <w:spacing w:line="0" w:lineRule="atLeast"/>
        <w:rPr>
          <w:color w:val="auto"/>
          <w:szCs w:val="21"/>
        </w:rPr>
      </w:pPr>
      <w:r>
        <w:rPr>
          <w:color w:val="auto"/>
          <w:szCs w:val="21"/>
        </w:rPr>
        <w:t>[</w:t>
      </w:r>
      <w:r>
        <w:rPr>
          <w:rFonts w:hint="eastAsia"/>
          <w:color w:val="auto"/>
          <w:szCs w:val="21"/>
        </w:rPr>
        <w:t>药品名称</w:t>
      </w:r>
      <w:r>
        <w:rPr>
          <w:color w:val="auto"/>
          <w:szCs w:val="21"/>
        </w:rPr>
        <w:t>]</w:t>
      </w:r>
    </w:p>
    <w:p w14:paraId="249F62D7">
      <w:pPr>
        <w:spacing w:line="0" w:lineRule="atLeast"/>
        <w:rPr>
          <w:color w:val="auto"/>
          <w:szCs w:val="21"/>
        </w:rPr>
      </w:pPr>
      <w:r>
        <w:rPr>
          <w:rFonts w:hint="eastAsia"/>
          <w:color w:val="auto"/>
          <w:szCs w:val="21"/>
        </w:rPr>
        <w:t>通用名称：芩暴红止咳颗粒</w:t>
      </w:r>
    </w:p>
    <w:p w14:paraId="57802BAF">
      <w:pPr>
        <w:spacing w:line="0" w:lineRule="atLeast"/>
        <w:rPr>
          <w:color w:val="auto"/>
          <w:szCs w:val="21"/>
        </w:rPr>
      </w:pPr>
      <w:r>
        <w:rPr>
          <w:rFonts w:hint="eastAsia"/>
          <w:color w:val="auto"/>
          <w:szCs w:val="21"/>
        </w:rPr>
        <w:t>汉语拼音：</w:t>
      </w:r>
    </w:p>
    <w:p w14:paraId="4D5F11CA">
      <w:pPr>
        <w:spacing w:line="0" w:lineRule="atLeast"/>
        <w:rPr>
          <w:color w:val="auto"/>
          <w:szCs w:val="21"/>
        </w:rPr>
      </w:pPr>
      <w:r>
        <w:rPr>
          <w:color w:val="auto"/>
          <w:szCs w:val="21"/>
        </w:rPr>
        <w:t>[</w:t>
      </w:r>
      <w:r>
        <w:rPr>
          <w:rFonts w:hint="eastAsia"/>
          <w:color w:val="auto"/>
          <w:szCs w:val="21"/>
        </w:rPr>
        <w:t>成份</w:t>
      </w:r>
      <w:r>
        <w:rPr>
          <w:color w:val="auto"/>
          <w:szCs w:val="21"/>
        </w:rPr>
        <w:t>]</w:t>
      </w:r>
    </w:p>
    <w:p w14:paraId="72EAE52E">
      <w:pPr>
        <w:spacing w:line="0" w:lineRule="atLeast"/>
        <w:rPr>
          <w:color w:val="auto"/>
          <w:szCs w:val="21"/>
        </w:rPr>
      </w:pPr>
      <w:r>
        <w:rPr>
          <w:color w:val="auto"/>
          <w:szCs w:val="21"/>
        </w:rPr>
        <w:t>[</w:t>
      </w:r>
      <w:r>
        <w:rPr>
          <w:rFonts w:hint="eastAsia"/>
          <w:color w:val="auto"/>
          <w:szCs w:val="21"/>
        </w:rPr>
        <w:t>性状</w:t>
      </w:r>
      <w:r>
        <w:rPr>
          <w:color w:val="auto"/>
          <w:szCs w:val="21"/>
        </w:rPr>
        <w:t>]</w:t>
      </w:r>
    </w:p>
    <w:p w14:paraId="3FD53659">
      <w:pPr>
        <w:spacing w:line="0" w:lineRule="atLeast"/>
        <w:rPr>
          <w:color w:val="auto"/>
          <w:szCs w:val="21"/>
        </w:rPr>
      </w:pPr>
      <w:r>
        <w:rPr>
          <w:color w:val="auto"/>
          <w:szCs w:val="21"/>
        </w:rPr>
        <w:t>[</w:t>
      </w:r>
      <w:r>
        <w:rPr>
          <w:rFonts w:hint="eastAsia"/>
          <w:color w:val="auto"/>
          <w:szCs w:val="21"/>
        </w:rPr>
        <w:t>功能主治</w:t>
      </w:r>
      <w:r>
        <w:rPr>
          <w:color w:val="auto"/>
          <w:szCs w:val="21"/>
        </w:rPr>
        <w:t xml:space="preserve">] </w:t>
      </w:r>
      <w:r>
        <w:rPr>
          <w:rFonts w:hint="eastAsia"/>
          <w:color w:val="auto"/>
          <w:szCs w:val="21"/>
        </w:rPr>
        <w:t>清热化痰，止咳平喘。用于痰热壅肺所致的咳嗽、痰多；急性支气管炎及慢性支气管炎急性发作见上述证候者。</w:t>
      </w:r>
    </w:p>
    <w:p w14:paraId="35C637BA">
      <w:pPr>
        <w:spacing w:line="0" w:lineRule="atLeast"/>
        <w:rPr>
          <w:color w:val="auto"/>
          <w:szCs w:val="21"/>
        </w:rPr>
      </w:pPr>
      <w:r>
        <w:rPr>
          <w:color w:val="auto"/>
          <w:szCs w:val="21"/>
        </w:rPr>
        <w:t>[</w:t>
      </w:r>
      <w:r>
        <w:rPr>
          <w:rFonts w:hint="eastAsia"/>
          <w:color w:val="auto"/>
          <w:szCs w:val="21"/>
        </w:rPr>
        <w:t>规格</w:t>
      </w:r>
      <w:r>
        <w:rPr>
          <w:color w:val="auto"/>
          <w:szCs w:val="21"/>
        </w:rPr>
        <w:t>]</w:t>
      </w:r>
      <w:r>
        <w:rPr>
          <w:rFonts w:hint="eastAsia"/>
          <w:color w:val="auto"/>
          <w:szCs w:val="21"/>
        </w:rPr>
        <w:t>每</w:t>
      </w:r>
      <w:r>
        <w:rPr>
          <w:color w:val="auto"/>
          <w:szCs w:val="21"/>
        </w:rPr>
        <w:t>1</w:t>
      </w:r>
      <w:r>
        <w:rPr>
          <w:rFonts w:hint="eastAsia"/>
          <w:color w:val="auto"/>
          <w:szCs w:val="21"/>
        </w:rPr>
        <w:t>克相当于饮片</w:t>
      </w:r>
      <w:r>
        <w:rPr>
          <w:color w:val="auto"/>
          <w:szCs w:val="21"/>
        </w:rPr>
        <w:t>2.6</w:t>
      </w:r>
      <w:r>
        <w:rPr>
          <w:rFonts w:hint="eastAsia"/>
          <w:color w:val="auto"/>
          <w:szCs w:val="21"/>
        </w:rPr>
        <w:t>克</w:t>
      </w:r>
    </w:p>
    <w:p w14:paraId="609E66D4">
      <w:pPr>
        <w:spacing w:line="0" w:lineRule="atLeast"/>
        <w:rPr>
          <w:color w:val="auto"/>
          <w:szCs w:val="21"/>
        </w:rPr>
      </w:pPr>
      <w:r>
        <w:rPr>
          <w:color w:val="auto"/>
          <w:szCs w:val="21"/>
        </w:rPr>
        <w:t>[</w:t>
      </w:r>
      <w:r>
        <w:rPr>
          <w:rFonts w:hint="eastAsia"/>
          <w:color w:val="auto"/>
          <w:szCs w:val="21"/>
        </w:rPr>
        <w:t>用法用量</w:t>
      </w:r>
      <w:r>
        <w:rPr>
          <w:color w:val="auto"/>
          <w:szCs w:val="21"/>
        </w:rPr>
        <w:t xml:space="preserve">] </w:t>
      </w:r>
      <w:r>
        <w:rPr>
          <w:rFonts w:hint="eastAsia"/>
          <w:color w:val="auto"/>
          <w:szCs w:val="21"/>
        </w:rPr>
        <w:t>口服。一次</w:t>
      </w:r>
      <w:r>
        <w:rPr>
          <w:color w:val="auto"/>
          <w:szCs w:val="21"/>
        </w:rPr>
        <w:t>4</w:t>
      </w:r>
      <w:r>
        <w:rPr>
          <w:rFonts w:hint="eastAsia"/>
          <w:color w:val="auto"/>
          <w:szCs w:val="21"/>
        </w:rPr>
        <w:t>克，一日</w:t>
      </w:r>
      <w:r>
        <w:rPr>
          <w:color w:val="auto"/>
          <w:szCs w:val="21"/>
        </w:rPr>
        <w:t>3</w:t>
      </w:r>
      <w:r>
        <w:rPr>
          <w:rFonts w:hint="eastAsia"/>
          <w:color w:val="auto"/>
          <w:szCs w:val="21"/>
        </w:rPr>
        <w:t>次。</w:t>
      </w:r>
    </w:p>
    <w:p w14:paraId="5FF2FF38">
      <w:pPr>
        <w:spacing w:line="0" w:lineRule="atLeast"/>
        <w:rPr>
          <w:b/>
          <w:color w:val="auto"/>
          <w:szCs w:val="21"/>
        </w:rPr>
      </w:pPr>
      <w:r>
        <w:rPr>
          <w:b/>
          <w:color w:val="auto"/>
          <w:szCs w:val="21"/>
        </w:rPr>
        <w:t>[</w:t>
      </w:r>
      <w:r>
        <w:rPr>
          <w:rFonts w:hint="eastAsia"/>
          <w:b/>
          <w:color w:val="auto"/>
          <w:szCs w:val="21"/>
        </w:rPr>
        <w:t>不良反应</w:t>
      </w:r>
      <w:r>
        <w:rPr>
          <w:b/>
          <w:color w:val="auto"/>
          <w:szCs w:val="21"/>
        </w:rPr>
        <w:t xml:space="preserve">] </w:t>
      </w:r>
      <w:r>
        <w:rPr>
          <w:rFonts w:hint="eastAsia"/>
          <w:b/>
          <w:color w:val="auto"/>
          <w:szCs w:val="21"/>
        </w:rPr>
        <w:t>监测数据显示，芩暴红止咳制剂可见以下不良反应报告：腹泻、恶心、呕吐、腹部不适、腹痛、口干、瘙痒、红斑、皮疹、头晕、头痛、心悸、失眠、局部麻木感、过敏反应等。</w:t>
      </w:r>
    </w:p>
    <w:p w14:paraId="6B2E89AC">
      <w:pPr>
        <w:spacing w:line="0" w:lineRule="atLeast"/>
        <w:rPr>
          <w:b/>
          <w:color w:val="auto"/>
          <w:szCs w:val="21"/>
        </w:rPr>
      </w:pPr>
      <w:r>
        <w:rPr>
          <w:b/>
          <w:color w:val="auto"/>
          <w:szCs w:val="21"/>
        </w:rPr>
        <w:t>[</w:t>
      </w:r>
      <w:r>
        <w:rPr>
          <w:rFonts w:hint="eastAsia"/>
          <w:b/>
          <w:color w:val="auto"/>
          <w:szCs w:val="21"/>
        </w:rPr>
        <w:t>禁忌</w:t>
      </w:r>
      <w:r>
        <w:rPr>
          <w:b/>
          <w:color w:val="auto"/>
          <w:szCs w:val="21"/>
        </w:rPr>
        <w:t xml:space="preserve">] </w:t>
      </w:r>
      <w:r>
        <w:rPr>
          <w:rFonts w:hint="eastAsia"/>
          <w:b/>
          <w:color w:val="auto"/>
          <w:szCs w:val="21"/>
        </w:rPr>
        <w:t>对本品及所含成份过敏者禁用。</w:t>
      </w:r>
    </w:p>
    <w:p w14:paraId="13355944">
      <w:pPr>
        <w:spacing w:line="0" w:lineRule="atLeast"/>
        <w:rPr>
          <w:b/>
          <w:color w:val="auto"/>
          <w:szCs w:val="21"/>
        </w:rPr>
      </w:pPr>
      <w:r>
        <w:rPr>
          <w:b/>
          <w:color w:val="auto"/>
          <w:szCs w:val="21"/>
        </w:rPr>
        <w:t>[</w:t>
      </w:r>
      <w:r>
        <w:rPr>
          <w:rFonts w:hint="eastAsia"/>
          <w:b/>
          <w:color w:val="auto"/>
          <w:szCs w:val="21"/>
        </w:rPr>
        <w:t>注意事项</w:t>
      </w:r>
      <w:r>
        <w:rPr>
          <w:b/>
          <w:color w:val="auto"/>
          <w:szCs w:val="21"/>
        </w:rPr>
        <w:t>]</w:t>
      </w:r>
    </w:p>
    <w:p w14:paraId="65AD6BED">
      <w:pPr>
        <w:spacing w:line="0" w:lineRule="atLeast"/>
        <w:rPr>
          <w:b/>
          <w:color w:val="auto"/>
          <w:szCs w:val="21"/>
        </w:rPr>
      </w:pPr>
      <w:r>
        <w:rPr>
          <w:b/>
          <w:color w:val="auto"/>
          <w:szCs w:val="21"/>
        </w:rPr>
        <w:t>1.</w:t>
      </w:r>
      <w:r>
        <w:rPr>
          <w:rFonts w:hint="eastAsia"/>
          <w:b/>
          <w:color w:val="auto"/>
          <w:szCs w:val="21"/>
        </w:rPr>
        <w:t>忌食辛辣刺激类食物。</w:t>
      </w:r>
    </w:p>
    <w:p w14:paraId="12F411AF">
      <w:pPr>
        <w:spacing w:line="0" w:lineRule="atLeast"/>
        <w:rPr>
          <w:b/>
          <w:color w:val="auto"/>
          <w:szCs w:val="21"/>
        </w:rPr>
      </w:pPr>
      <w:r>
        <w:rPr>
          <w:b/>
          <w:color w:val="auto"/>
          <w:szCs w:val="21"/>
        </w:rPr>
        <w:t>2.</w:t>
      </w:r>
      <w:r>
        <w:rPr>
          <w:rFonts w:hint="eastAsia"/>
          <w:b/>
          <w:color w:val="auto"/>
          <w:szCs w:val="21"/>
        </w:rPr>
        <w:t>支气管扩张、肺脓疡、肺心病、肺结核患者出现咳嗽时应当去医院就诊。</w:t>
      </w:r>
    </w:p>
    <w:p w14:paraId="6E0C8BDE">
      <w:pPr>
        <w:spacing w:line="0" w:lineRule="atLeast"/>
        <w:rPr>
          <w:b/>
          <w:color w:val="auto"/>
          <w:szCs w:val="21"/>
        </w:rPr>
      </w:pPr>
      <w:r>
        <w:rPr>
          <w:b/>
          <w:color w:val="auto"/>
          <w:szCs w:val="21"/>
        </w:rPr>
        <w:t>3.</w:t>
      </w:r>
      <w:r>
        <w:rPr>
          <w:rFonts w:hint="eastAsia"/>
          <w:b/>
          <w:color w:val="auto"/>
          <w:szCs w:val="21"/>
        </w:rPr>
        <w:t>扁桃体有化脓或者发热体温超过</w:t>
      </w:r>
      <w:r>
        <w:rPr>
          <w:b/>
          <w:color w:val="auto"/>
          <w:szCs w:val="21"/>
        </w:rPr>
        <w:t>38.5℃</w:t>
      </w:r>
      <w:r>
        <w:rPr>
          <w:rFonts w:hint="eastAsia"/>
          <w:b/>
          <w:color w:val="auto"/>
          <w:szCs w:val="21"/>
        </w:rPr>
        <w:t>的患者应当去医院就诊。</w:t>
      </w:r>
    </w:p>
    <w:p w14:paraId="583C88B1">
      <w:pPr>
        <w:spacing w:line="0" w:lineRule="atLeast"/>
        <w:rPr>
          <w:b/>
          <w:color w:val="auto"/>
          <w:szCs w:val="21"/>
        </w:rPr>
      </w:pPr>
      <w:r>
        <w:rPr>
          <w:b/>
          <w:color w:val="auto"/>
          <w:szCs w:val="21"/>
        </w:rPr>
        <w:t>4.</w:t>
      </w:r>
      <w:r>
        <w:rPr>
          <w:rFonts w:hint="eastAsia"/>
          <w:b/>
          <w:color w:val="auto"/>
          <w:szCs w:val="21"/>
        </w:rPr>
        <w:t>严格按照用法用量服用，不长期服用。</w:t>
      </w:r>
    </w:p>
    <w:p w14:paraId="2A7AD3E1">
      <w:pPr>
        <w:spacing w:line="0" w:lineRule="atLeast"/>
        <w:rPr>
          <w:b/>
          <w:color w:val="auto"/>
          <w:szCs w:val="21"/>
        </w:rPr>
      </w:pPr>
      <w:r>
        <w:rPr>
          <w:b/>
          <w:color w:val="auto"/>
          <w:szCs w:val="21"/>
        </w:rPr>
        <w:t>5.</w:t>
      </w:r>
      <w:r>
        <w:rPr>
          <w:rFonts w:hint="eastAsia"/>
          <w:b/>
          <w:color w:val="auto"/>
          <w:szCs w:val="21"/>
        </w:rPr>
        <w:t>糖尿病患者慎用。</w:t>
      </w:r>
    </w:p>
    <w:p w14:paraId="240AD87B">
      <w:pPr>
        <w:spacing w:line="0" w:lineRule="atLeast"/>
        <w:rPr>
          <w:b/>
          <w:color w:val="auto"/>
          <w:szCs w:val="21"/>
        </w:rPr>
      </w:pPr>
      <w:r>
        <w:rPr>
          <w:b/>
          <w:color w:val="auto"/>
          <w:szCs w:val="21"/>
        </w:rPr>
        <w:t>6.</w:t>
      </w:r>
      <w:r>
        <w:rPr>
          <w:rFonts w:hint="eastAsia"/>
          <w:b/>
          <w:color w:val="auto"/>
          <w:szCs w:val="21"/>
        </w:rPr>
        <w:t>高血压、心脏病、肝病、糖尿病、肾病等患者应当在医师指导下服用。</w:t>
      </w:r>
    </w:p>
    <w:p w14:paraId="4CAE291D">
      <w:pPr>
        <w:spacing w:line="0" w:lineRule="atLeast"/>
        <w:rPr>
          <w:b/>
          <w:color w:val="auto"/>
          <w:szCs w:val="21"/>
        </w:rPr>
      </w:pPr>
      <w:r>
        <w:rPr>
          <w:b/>
          <w:color w:val="auto"/>
          <w:szCs w:val="21"/>
        </w:rPr>
        <w:t>7.</w:t>
      </w:r>
      <w:r>
        <w:rPr>
          <w:rFonts w:hint="eastAsia"/>
          <w:b/>
          <w:color w:val="auto"/>
          <w:szCs w:val="21"/>
        </w:rPr>
        <w:t>症见稀白痰证属痰饮者不宜服用，慢性虚咳患者不宜服用。</w:t>
      </w:r>
    </w:p>
    <w:p w14:paraId="70ED788A">
      <w:pPr>
        <w:spacing w:line="0" w:lineRule="atLeast"/>
        <w:rPr>
          <w:b/>
          <w:color w:val="auto"/>
          <w:szCs w:val="21"/>
        </w:rPr>
      </w:pPr>
      <w:r>
        <w:rPr>
          <w:b/>
          <w:color w:val="auto"/>
          <w:szCs w:val="21"/>
        </w:rPr>
        <w:t>8.</w:t>
      </w:r>
      <w:r>
        <w:rPr>
          <w:rFonts w:hint="eastAsia"/>
          <w:b/>
          <w:color w:val="auto"/>
          <w:szCs w:val="21"/>
        </w:rPr>
        <w:t>孕妇、老年人慎用，如确需使用应在医师指导下使用。</w:t>
      </w:r>
    </w:p>
    <w:p w14:paraId="1FE57904">
      <w:pPr>
        <w:spacing w:line="0" w:lineRule="atLeast"/>
        <w:rPr>
          <w:b/>
          <w:color w:val="auto"/>
          <w:szCs w:val="21"/>
        </w:rPr>
      </w:pPr>
      <w:r>
        <w:rPr>
          <w:b/>
          <w:color w:val="auto"/>
          <w:szCs w:val="21"/>
        </w:rPr>
        <w:t>9.</w:t>
      </w:r>
      <w:r>
        <w:rPr>
          <w:rFonts w:hint="eastAsia"/>
          <w:b/>
          <w:color w:val="auto"/>
          <w:szCs w:val="21"/>
        </w:rPr>
        <w:t>过敏体质者慎用，脾胃虚寒者慎用。</w:t>
      </w:r>
    </w:p>
    <w:p w14:paraId="039D37A7">
      <w:pPr>
        <w:spacing w:line="0" w:lineRule="atLeast"/>
        <w:rPr>
          <w:b/>
          <w:color w:val="auto"/>
          <w:szCs w:val="21"/>
        </w:rPr>
      </w:pPr>
      <w:r>
        <w:rPr>
          <w:b/>
          <w:color w:val="auto"/>
          <w:szCs w:val="21"/>
        </w:rPr>
        <w:t>10.</w:t>
      </w:r>
      <w:r>
        <w:rPr>
          <w:rFonts w:hint="eastAsia"/>
          <w:b/>
          <w:color w:val="auto"/>
          <w:szCs w:val="21"/>
        </w:rPr>
        <w:t>服药</w:t>
      </w:r>
      <w:r>
        <w:rPr>
          <w:b/>
          <w:color w:val="auto"/>
          <w:szCs w:val="21"/>
        </w:rPr>
        <w:t>3</w:t>
      </w:r>
      <w:r>
        <w:rPr>
          <w:rFonts w:hint="eastAsia"/>
          <w:b/>
          <w:color w:val="auto"/>
          <w:szCs w:val="21"/>
        </w:rPr>
        <w:t>天症状无缓解，或者症状加重，或者出现心悸等新的症状，应当去医院就诊。</w:t>
      </w:r>
    </w:p>
    <w:p w14:paraId="26B068C6">
      <w:pPr>
        <w:spacing w:line="0" w:lineRule="atLeast"/>
        <w:rPr>
          <w:b/>
          <w:color w:val="auto"/>
          <w:szCs w:val="21"/>
        </w:rPr>
      </w:pPr>
      <w:r>
        <w:rPr>
          <w:b/>
          <w:color w:val="auto"/>
          <w:szCs w:val="21"/>
        </w:rPr>
        <w:t>11.</w:t>
      </w:r>
      <w:r>
        <w:rPr>
          <w:rFonts w:hint="eastAsia"/>
          <w:b/>
          <w:color w:val="auto"/>
          <w:szCs w:val="21"/>
        </w:rPr>
        <w:t>本品性状发生改变时禁止使用。</w:t>
      </w:r>
    </w:p>
    <w:p w14:paraId="48D98AAB">
      <w:pPr>
        <w:spacing w:line="0" w:lineRule="atLeast"/>
        <w:rPr>
          <w:b/>
          <w:color w:val="auto"/>
          <w:szCs w:val="21"/>
        </w:rPr>
      </w:pPr>
      <w:r>
        <w:rPr>
          <w:b/>
          <w:color w:val="auto"/>
          <w:szCs w:val="21"/>
        </w:rPr>
        <w:t>12.</w:t>
      </w:r>
      <w:r>
        <w:rPr>
          <w:rFonts w:hint="eastAsia"/>
          <w:b/>
          <w:color w:val="auto"/>
          <w:szCs w:val="21"/>
        </w:rPr>
        <w:t>请将本品放在儿童不能接触的地方。</w:t>
      </w:r>
    </w:p>
    <w:p w14:paraId="4B71D119">
      <w:pPr>
        <w:spacing w:line="0" w:lineRule="atLeast"/>
        <w:rPr>
          <w:b/>
          <w:color w:val="auto"/>
          <w:szCs w:val="21"/>
        </w:rPr>
      </w:pPr>
      <w:r>
        <w:rPr>
          <w:b/>
          <w:color w:val="auto"/>
          <w:szCs w:val="21"/>
        </w:rPr>
        <w:t>13.</w:t>
      </w:r>
      <w:r>
        <w:rPr>
          <w:rFonts w:hint="eastAsia"/>
          <w:b/>
          <w:color w:val="auto"/>
          <w:szCs w:val="21"/>
        </w:rPr>
        <w:t>如正在使用其他药品，使用本品前请咨询医师或者药师。</w:t>
      </w:r>
    </w:p>
    <w:p w14:paraId="6F69325E">
      <w:pPr>
        <w:spacing w:line="0" w:lineRule="atLeast"/>
        <w:rPr>
          <w:color w:val="auto"/>
          <w:szCs w:val="21"/>
        </w:rPr>
      </w:pPr>
      <w:r>
        <w:rPr>
          <w:color w:val="auto"/>
          <w:szCs w:val="21"/>
        </w:rPr>
        <w:t>[</w:t>
      </w:r>
      <w:r>
        <w:rPr>
          <w:rFonts w:hint="eastAsia"/>
          <w:color w:val="auto"/>
          <w:szCs w:val="21"/>
        </w:rPr>
        <w:t>药物相互作用</w:t>
      </w:r>
      <w:r>
        <w:rPr>
          <w:color w:val="auto"/>
          <w:szCs w:val="21"/>
        </w:rPr>
        <w:t>]</w:t>
      </w:r>
      <w:r>
        <w:rPr>
          <w:rFonts w:hint="eastAsia"/>
          <w:color w:val="auto"/>
          <w:szCs w:val="21"/>
        </w:rPr>
        <w:t>如与其他药物同时使用可能会发生药物相互作用，详情请咨询医师或者药师。</w:t>
      </w:r>
    </w:p>
    <w:p w14:paraId="0F1510CE">
      <w:pPr>
        <w:spacing w:line="0" w:lineRule="atLeast"/>
        <w:rPr>
          <w:color w:val="auto"/>
          <w:szCs w:val="21"/>
        </w:rPr>
      </w:pPr>
      <w:r>
        <w:rPr>
          <w:color w:val="auto"/>
          <w:szCs w:val="21"/>
        </w:rPr>
        <w:t>[</w:t>
      </w:r>
      <w:r>
        <w:rPr>
          <w:rFonts w:hint="eastAsia"/>
          <w:color w:val="auto"/>
          <w:szCs w:val="21"/>
        </w:rPr>
        <w:t>贮藏</w:t>
      </w:r>
      <w:r>
        <w:rPr>
          <w:color w:val="auto"/>
          <w:szCs w:val="21"/>
        </w:rPr>
        <w:t xml:space="preserve">] </w:t>
      </w:r>
      <w:r>
        <w:rPr>
          <w:color w:val="auto"/>
          <w:szCs w:val="21"/>
        </w:rPr>
        <w:br w:type="textWrapping"/>
      </w:r>
      <w:r>
        <w:rPr>
          <w:color w:val="auto"/>
          <w:szCs w:val="21"/>
        </w:rPr>
        <w:t>[</w:t>
      </w:r>
      <w:r>
        <w:rPr>
          <w:rFonts w:hint="eastAsia"/>
          <w:color w:val="auto"/>
          <w:szCs w:val="21"/>
        </w:rPr>
        <w:t>包装</w:t>
      </w:r>
      <w:r>
        <w:rPr>
          <w:color w:val="auto"/>
          <w:szCs w:val="21"/>
        </w:rPr>
        <w:t>]</w:t>
      </w:r>
      <w:r>
        <w:rPr>
          <w:color w:val="auto"/>
          <w:szCs w:val="21"/>
        </w:rPr>
        <w:br w:type="textWrapping"/>
      </w:r>
      <w:r>
        <w:rPr>
          <w:color w:val="auto"/>
          <w:szCs w:val="21"/>
        </w:rPr>
        <w:t>[</w:t>
      </w:r>
      <w:r>
        <w:rPr>
          <w:rFonts w:hint="eastAsia"/>
          <w:color w:val="auto"/>
          <w:szCs w:val="21"/>
        </w:rPr>
        <w:t>有效期</w:t>
      </w:r>
      <w:r>
        <w:rPr>
          <w:color w:val="auto"/>
          <w:szCs w:val="21"/>
        </w:rPr>
        <w:t>]</w:t>
      </w:r>
      <w:r>
        <w:rPr>
          <w:color w:val="auto"/>
          <w:szCs w:val="21"/>
        </w:rPr>
        <w:br w:type="textWrapping"/>
      </w:r>
      <w:r>
        <w:rPr>
          <w:color w:val="auto"/>
          <w:szCs w:val="21"/>
        </w:rPr>
        <w:t>[</w:t>
      </w:r>
      <w:r>
        <w:rPr>
          <w:rFonts w:hint="eastAsia"/>
          <w:color w:val="auto"/>
          <w:szCs w:val="21"/>
        </w:rPr>
        <w:t>执行标准</w:t>
      </w:r>
      <w:r>
        <w:rPr>
          <w:color w:val="auto"/>
          <w:szCs w:val="21"/>
        </w:rPr>
        <w:t>]</w:t>
      </w:r>
      <w:r>
        <w:rPr>
          <w:color w:val="auto"/>
          <w:szCs w:val="21"/>
        </w:rPr>
        <w:br w:type="textWrapping"/>
      </w:r>
      <w:r>
        <w:rPr>
          <w:color w:val="auto"/>
          <w:szCs w:val="21"/>
        </w:rPr>
        <w:t>[</w:t>
      </w:r>
      <w:r>
        <w:rPr>
          <w:rFonts w:hint="eastAsia"/>
          <w:color w:val="auto"/>
          <w:szCs w:val="21"/>
        </w:rPr>
        <w:t>批准文号</w:t>
      </w:r>
      <w:r>
        <w:rPr>
          <w:color w:val="auto"/>
          <w:szCs w:val="21"/>
        </w:rPr>
        <w:t>]</w:t>
      </w:r>
      <w:r>
        <w:rPr>
          <w:color w:val="auto"/>
          <w:szCs w:val="21"/>
        </w:rPr>
        <w:br w:type="textWrapping"/>
      </w:r>
      <w:r>
        <w:rPr>
          <w:color w:val="auto"/>
          <w:szCs w:val="21"/>
        </w:rPr>
        <w:t>[</w:t>
      </w:r>
      <w:r>
        <w:rPr>
          <w:rFonts w:hint="eastAsia"/>
          <w:color w:val="auto"/>
          <w:szCs w:val="21"/>
        </w:rPr>
        <w:t>说明书修订日期</w:t>
      </w:r>
      <w:r>
        <w:rPr>
          <w:color w:val="auto"/>
          <w:szCs w:val="21"/>
        </w:rPr>
        <w:t>]</w:t>
      </w:r>
      <w:r>
        <w:rPr>
          <w:color w:val="auto"/>
          <w:szCs w:val="21"/>
        </w:rPr>
        <w:br w:type="textWrapping"/>
      </w:r>
      <w:r>
        <w:rPr>
          <w:color w:val="auto"/>
          <w:szCs w:val="21"/>
        </w:rPr>
        <w:t>[</w:t>
      </w:r>
      <w:r>
        <w:rPr>
          <w:rFonts w:hint="eastAsia"/>
          <w:color w:val="auto"/>
          <w:szCs w:val="21"/>
        </w:rPr>
        <w:t>药品上市许可持有人</w:t>
      </w:r>
      <w:r>
        <w:rPr>
          <w:color w:val="auto"/>
          <w:szCs w:val="21"/>
        </w:rPr>
        <w:t>]</w:t>
      </w:r>
    </w:p>
    <w:p w14:paraId="27E75BAD">
      <w:pPr>
        <w:spacing w:line="0" w:lineRule="atLeast"/>
        <w:rPr>
          <w:color w:val="auto"/>
          <w:szCs w:val="21"/>
        </w:rPr>
      </w:pPr>
      <w:r>
        <w:rPr>
          <w:rFonts w:hint="eastAsia"/>
          <w:color w:val="auto"/>
          <w:szCs w:val="21"/>
        </w:rPr>
        <w:t>名</w:t>
      </w:r>
      <w:r>
        <w:rPr>
          <w:color w:val="auto"/>
          <w:szCs w:val="21"/>
        </w:rPr>
        <w:t xml:space="preserve">    </w:t>
      </w:r>
      <w:r>
        <w:rPr>
          <w:rFonts w:hint="eastAsia"/>
          <w:color w:val="auto"/>
          <w:szCs w:val="21"/>
        </w:rPr>
        <w:t>称：</w:t>
      </w:r>
      <w:r>
        <w:rPr>
          <w:color w:val="auto"/>
          <w:szCs w:val="21"/>
        </w:rPr>
        <w:t xml:space="preserve"> </w:t>
      </w:r>
      <w:r>
        <w:rPr>
          <w:color w:val="auto"/>
          <w:szCs w:val="21"/>
        </w:rPr>
        <w:br w:type="textWrapping"/>
      </w:r>
      <w:r>
        <w:rPr>
          <w:rFonts w:hint="eastAsia"/>
          <w:color w:val="auto"/>
          <w:szCs w:val="21"/>
        </w:rPr>
        <w:t>注册地址：</w:t>
      </w:r>
      <w:r>
        <w:rPr>
          <w:color w:val="auto"/>
          <w:szCs w:val="21"/>
        </w:rPr>
        <w:br w:type="textWrapping"/>
      </w:r>
      <w:r>
        <w:rPr>
          <w:rFonts w:hint="eastAsia"/>
          <w:color w:val="auto"/>
          <w:szCs w:val="21"/>
        </w:rPr>
        <w:t>邮政编码：</w:t>
      </w:r>
      <w:r>
        <w:rPr>
          <w:color w:val="auto"/>
          <w:szCs w:val="21"/>
        </w:rPr>
        <w:br w:type="textWrapping"/>
      </w:r>
      <w:r>
        <w:rPr>
          <w:rFonts w:hint="eastAsia"/>
          <w:color w:val="auto"/>
          <w:szCs w:val="21"/>
        </w:rPr>
        <w:t>电话号码：</w:t>
      </w:r>
      <w:r>
        <w:rPr>
          <w:color w:val="auto"/>
          <w:szCs w:val="21"/>
        </w:rPr>
        <w:br w:type="textWrapping"/>
      </w:r>
      <w:r>
        <w:rPr>
          <w:rFonts w:hint="eastAsia"/>
          <w:color w:val="auto"/>
          <w:szCs w:val="21"/>
        </w:rPr>
        <w:t>传真号码：</w:t>
      </w:r>
      <w:r>
        <w:rPr>
          <w:color w:val="auto"/>
          <w:szCs w:val="21"/>
        </w:rPr>
        <w:br w:type="textWrapping"/>
      </w:r>
      <w:r>
        <w:rPr>
          <w:rFonts w:hint="eastAsia"/>
          <w:color w:val="auto"/>
          <w:szCs w:val="21"/>
        </w:rPr>
        <w:t>网</w:t>
      </w:r>
      <w:r>
        <w:rPr>
          <w:color w:val="auto"/>
          <w:szCs w:val="21"/>
        </w:rPr>
        <w:t xml:space="preserve">    </w:t>
      </w:r>
      <w:r>
        <w:rPr>
          <w:rFonts w:hint="eastAsia"/>
          <w:color w:val="auto"/>
          <w:szCs w:val="21"/>
        </w:rPr>
        <w:t>址：</w:t>
      </w:r>
    </w:p>
    <w:p w14:paraId="7A2DEB23">
      <w:pPr>
        <w:spacing w:line="0" w:lineRule="atLeast"/>
        <w:rPr>
          <w:b/>
          <w:color w:val="auto"/>
          <w:szCs w:val="21"/>
        </w:rPr>
      </w:pPr>
      <w:r>
        <w:rPr>
          <w:color w:val="auto"/>
          <w:szCs w:val="21"/>
        </w:rPr>
        <w:t>[</w:t>
      </w:r>
      <w:r>
        <w:rPr>
          <w:rFonts w:hint="eastAsia"/>
          <w:color w:val="auto"/>
          <w:szCs w:val="21"/>
        </w:rPr>
        <w:t>生产企业</w:t>
      </w:r>
      <w:r>
        <w:rPr>
          <w:color w:val="auto"/>
          <w:szCs w:val="21"/>
        </w:rPr>
        <w:t>]</w:t>
      </w:r>
      <w:r>
        <w:rPr>
          <w:color w:val="auto"/>
          <w:szCs w:val="21"/>
        </w:rPr>
        <w:br w:type="textWrapping"/>
      </w:r>
      <w:r>
        <w:rPr>
          <w:rFonts w:hint="eastAsia"/>
          <w:color w:val="auto"/>
          <w:szCs w:val="21"/>
        </w:rPr>
        <w:t>企业名称：</w:t>
      </w:r>
      <w:r>
        <w:rPr>
          <w:color w:val="auto"/>
          <w:szCs w:val="21"/>
        </w:rPr>
        <w:t xml:space="preserve"> </w:t>
      </w:r>
      <w:r>
        <w:rPr>
          <w:color w:val="auto"/>
          <w:szCs w:val="21"/>
        </w:rPr>
        <w:br w:type="textWrapping"/>
      </w:r>
      <w:r>
        <w:rPr>
          <w:rFonts w:hint="eastAsia"/>
          <w:color w:val="auto"/>
          <w:szCs w:val="21"/>
        </w:rPr>
        <w:t>生产地址：</w:t>
      </w:r>
      <w:r>
        <w:rPr>
          <w:color w:val="auto"/>
          <w:szCs w:val="21"/>
        </w:rPr>
        <w:br w:type="textWrapping"/>
      </w:r>
      <w:r>
        <w:rPr>
          <w:rFonts w:hint="eastAsia"/>
          <w:b/>
          <w:color w:val="auto"/>
          <w:szCs w:val="21"/>
        </w:rPr>
        <w:t>如有问题可与药品上市许可持有人联系。</w:t>
      </w:r>
    </w:p>
    <w:p w14:paraId="20A3EB35">
      <w:pPr>
        <w:spacing w:line="0" w:lineRule="atLeast"/>
        <w:rPr>
          <w:color w:val="auto"/>
          <w:szCs w:val="21"/>
        </w:rPr>
      </w:pPr>
    </w:p>
    <w:p w14:paraId="4746F4B7">
      <w:pPr>
        <w:spacing w:line="360" w:lineRule="exact"/>
        <w:rPr>
          <w:color w:val="auto"/>
          <w:kern w:val="0"/>
          <w:lang w:bidi="ar"/>
        </w:rPr>
      </w:pPr>
    </w:p>
    <w:p w14:paraId="2A501B30">
      <w:pPr>
        <w:spacing w:line="360" w:lineRule="exact"/>
        <w:rPr>
          <w:rFonts w:hint="eastAsia"/>
          <w:color w:val="auto"/>
          <w:kern w:val="0"/>
          <w:lang w:bidi="ar"/>
        </w:rPr>
      </w:pPr>
      <w:r>
        <w:rPr>
          <w:rFonts w:hint="eastAsia"/>
          <w:color w:val="auto"/>
          <w:kern w:val="0"/>
          <w:lang w:bidi="ar"/>
        </w:rPr>
        <w:t>（注：本说明书范本原则上不得删减，如原批准说明书的安全性内容较本范本内容更全面或者更严格的，应保留原批准内容。）</w:t>
      </w:r>
    </w:p>
    <w:p w14:paraId="7A566E82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204E624B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0C0888DF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38C1B421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6705F265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384CAD57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29AE4585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74AF8FA5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6EE59AAE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29E0E9C7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77DB41DF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67148CBD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41A3F3BA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602ACEC4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052B7B69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6376AB07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29AB0600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48AAA697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3472789D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17189780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4B53FE00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05AD22AA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21FCC949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281CCF4E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6EF0542A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27C143B5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2A583F84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6FE051C5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1CD3DC9C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260AA0E3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50CEEEF9">
      <w:pPr>
        <w:spacing w:line="360" w:lineRule="exact"/>
        <w:rPr>
          <w:rFonts w:hint="eastAsia"/>
          <w:color w:val="auto"/>
          <w:kern w:val="0"/>
          <w:lang w:bidi="ar"/>
        </w:rPr>
      </w:pPr>
      <w:bookmarkStart w:id="8" w:name="_GoBack"/>
      <w:bookmarkEnd w:id="8"/>
    </w:p>
    <w:p w14:paraId="3F4FBAA9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7F41EA83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678FDB1F">
      <w:pPr>
        <w:spacing w:line="360" w:lineRule="exact"/>
        <w:rPr>
          <w:rFonts w:hint="eastAsia"/>
          <w:color w:val="auto"/>
          <w:kern w:val="0"/>
          <w:lang w:bidi="ar"/>
        </w:rPr>
      </w:pPr>
    </w:p>
    <w:p w14:paraId="4583BA57">
      <w:pPr>
        <w:keepNext/>
        <w:keepLines/>
        <w:spacing w:before="0" w:after="0" w:line="600" w:lineRule="exact"/>
        <w:jc w:val="center"/>
        <w:outlineLvl w:val="9"/>
        <w:rPr>
          <w:rFonts w:ascii="宋体" w:hAnsi="宋体" w:cs="宋体"/>
          <w:b/>
          <w:color w:val="000000"/>
          <w:sz w:val="30"/>
          <w:szCs w:val="20"/>
        </w:rPr>
      </w:pPr>
      <w:r>
        <w:rPr>
          <w:rFonts w:ascii="宋体" w:hAnsi="宋体" w:cs="宋体"/>
          <w:b/>
          <w:color w:val="000000"/>
          <w:sz w:val="30"/>
          <w:szCs w:val="20"/>
        </w:rPr>
        <w:t>琥珀安神丸说明书</w:t>
      </w:r>
    </w:p>
    <w:p w14:paraId="020CAFCE">
      <w:pPr>
        <w:spacing w:line="0" w:lineRule="atLeast"/>
        <w:jc w:val="center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请仔细阅读说明书并按说明使用或在药师指导下购买和使用</w:t>
      </w:r>
    </w:p>
    <w:p w14:paraId="2AF750A7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[药品名称]</w:t>
      </w:r>
    </w:p>
    <w:p w14:paraId="7A0F90DE">
      <w:pPr>
        <w:spacing w:line="0" w:lineRule="atLeast"/>
        <w:rPr>
          <w:rFonts w:hint="default" w:ascii="Times New Roman" w:hAnsi="Times New Roman" w:cs="Times New Roman"/>
          <w:szCs w:val="21"/>
        </w:rPr>
      </w:pPr>
      <w:r>
        <w:rPr>
          <w:rFonts w:ascii="宋体" w:hAnsi="宋体"/>
          <w:szCs w:val="21"/>
        </w:rPr>
        <w:t>通用名称</w:t>
      </w:r>
      <w:r>
        <w:rPr>
          <w:rFonts w:hint="default" w:ascii="Times New Roman" w:hAnsi="Times New Roman" w:cs="Times New Roman"/>
          <w:szCs w:val="21"/>
        </w:rPr>
        <w:t>：琥珀安神丸</w:t>
      </w:r>
    </w:p>
    <w:p w14:paraId="74EDA3C2">
      <w:pPr>
        <w:spacing w:line="0" w:lineRule="atLeas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汉语拼音：</w:t>
      </w:r>
    </w:p>
    <w:p w14:paraId="72D6C6B4">
      <w:pPr>
        <w:spacing w:line="0" w:lineRule="atLeas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[成份]</w:t>
      </w:r>
    </w:p>
    <w:p w14:paraId="19B056B9">
      <w:pPr>
        <w:spacing w:line="0" w:lineRule="atLeas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[性状]</w:t>
      </w:r>
    </w:p>
    <w:p w14:paraId="4B228257">
      <w:pPr>
        <w:spacing w:line="0" w:lineRule="atLeas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[功能主治]育阴养血、补心安神。用于心血不足、怔忡健忘，心悸失眠，虚烦不安。</w:t>
      </w:r>
    </w:p>
    <w:p w14:paraId="3C9476B1">
      <w:pPr>
        <w:spacing w:line="0" w:lineRule="atLeas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[规格]每袋装5克</w:t>
      </w:r>
    </w:p>
    <w:p w14:paraId="65A0B32E">
      <w:pPr>
        <w:spacing w:line="0" w:lineRule="atLeas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[用法用量]口服。一次5克，一日2次。</w:t>
      </w:r>
    </w:p>
    <w:p w14:paraId="3374B919">
      <w:pPr>
        <w:spacing w:line="0" w:lineRule="atLeas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[不良反应]监测数据显示，本品可见以下不良反应报告： 腹泻、恶心、腹部不适、口干、呕吐、头晕、头痛、皮疹等。</w:t>
      </w:r>
    </w:p>
    <w:p w14:paraId="40D5D84E">
      <w:pPr>
        <w:spacing w:line="0" w:lineRule="atLeas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[禁忌]</w:t>
      </w:r>
    </w:p>
    <w:p w14:paraId="288C3CAC">
      <w:pPr>
        <w:spacing w:line="0" w:lineRule="atLeas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1.外感发热患者忌服。</w:t>
      </w:r>
    </w:p>
    <w:p w14:paraId="57E759FB">
      <w:pPr>
        <w:spacing w:line="0" w:lineRule="atLeas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2.对本品及所含成份过敏者禁用。</w:t>
      </w:r>
    </w:p>
    <w:p w14:paraId="14117898">
      <w:pPr>
        <w:spacing w:line="0" w:lineRule="atLeas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[注意事项]</w:t>
      </w:r>
    </w:p>
    <w:p w14:paraId="68949AC4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1.服本药时不宜同时服用藜芦、五灵脂、皂荚或其制剂；不宜喝茶和吃萝卜，以免影响药力。</w:t>
      </w:r>
    </w:p>
    <w:p w14:paraId="7F36BDB7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2.本品宜餐后服。</w:t>
      </w:r>
    </w:p>
    <w:p w14:paraId="2ADDEEC3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3.高血压、心脏病、肝病、糖尿病、肾病等患者应在医师指导下服用。</w:t>
      </w:r>
    </w:p>
    <w:p w14:paraId="1D478B13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4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</w:rPr>
        <w:t>服本品1周后症状未见改善，或症状加重者，应立即停药并去医院就诊。</w:t>
      </w:r>
    </w:p>
    <w:p w14:paraId="6509E40B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5</w:t>
      </w:r>
      <w:r>
        <w:rPr>
          <w:rFonts w:hint="eastAsia" w:ascii="宋体" w:hAnsi="宋体"/>
          <w:b/>
          <w:szCs w:val="21"/>
        </w:rPr>
        <w:t>.过敏体质者慎用。</w:t>
      </w:r>
    </w:p>
    <w:p w14:paraId="17DE4467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6</w:t>
      </w:r>
      <w:r>
        <w:rPr>
          <w:rFonts w:hint="eastAsia" w:ascii="宋体" w:hAnsi="宋体"/>
          <w:b/>
          <w:szCs w:val="21"/>
        </w:rPr>
        <w:t>.本品性状发生改变时禁止使用。</w:t>
      </w:r>
    </w:p>
    <w:p w14:paraId="0EBFA4C4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7</w:t>
      </w:r>
      <w:r>
        <w:rPr>
          <w:rFonts w:hint="eastAsia" w:ascii="宋体" w:hAnsi="宋体"/>
          <w:b/>
          <w:szCs w:val="21"/>
        </w:rPr>
        <w:t>.请将本品放在儿童不能接触的地方。</w:t>
      </w:r>
    </w:p>
    <w:p w14:paraId="357AC507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8</w:t>
      </w:r>
      <w:r>
        <w:rPr>
          <w:rFonts w:hint="eastAsia" w:ascii="宋体" w:hAnsi="宋体"/>
          <w:b/>
          <w:szCs w:val="21"/>
        </w:rPr>
        <w:t>.如正在使用其他药品，使用本品前请咨询医师或药师。</w:t>
      </w:r>
    </w:p>
    <w:p w14:paraId="5B9359A2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[药物相互作用]如与其他药物同时使用可能会发生药物相互作用，详情请咨询医师或药师</w:t>
      </w:r>
    </w:p>
    <w:p w14:paraId="57CBC733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贮藏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包装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有效期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执行标准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批准文号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说明书修订日期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药品上市许可持有人</w:t>
      </w:r>
      <w:r>
        <w:rPr>
          <w:rFonts w:ascii="宋体" w:hAnsi="宋体"/>
          <w:szCs w:val="21"/>
        </w:rPr>
        <w:t>]</w:t>
      </w:r>
    </w:p>
    <w:p w14:paraId="04F3C727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szCs w:val="21"/>
        </w:rPr>
        <w:t>名</w:t>
      </w:r>
      <w:r>
        <w:rPr>
          <w:rFonts w:ascii="宋体" w:hAnsi="宋体"/>
          <w:szCs w:val="21"/>
        </w:rPr>
        <w:t xml:space="preserve">   </w:t>
      </w:r>
      <w:r>
        <w:rPr>
          <w:rFonts w:hint="eastAsia" w:ascii="宋体" w:hAnsi="宋体"/>
          <w:szCs w:val="21"/>
        </w:rPr>
        <w:t>称：</w:t>
      </w:r>
      <w:r>
        <w:rPr>
          <w:rFonts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注册地址：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邮政编码：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电话号码：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传真号码：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网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址：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生产企业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企业名称：</w:t>
      </w:r>
      <w:r>
        <w:rPr>
          <w:rFonts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生产地址：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b/>
          <w:szCs w:val="21"/>
        </w:rPr>
        <w:t>如有问题可与药品上市许可持有人联系。</w:t>
      </w:r>
    </w:p>
    <w:p w14:paraId="63073956">
      <w:pPr>
        <w:spacing w:line="0" w:lineRule="atLeast"/>
        <w:rPr>
          <w:rFonts w:ascii="宋体" w:hAnsi="宋体"/>
          <w:b/>
          <w:szCs w:val="21"/>
        </w:rPr>
      </w:pPr>
    </w:p>
    <w:p w14:paraId="0770265B">
      <w:pPr>
        <w:spacing w:line="0" w:lineRule="atLeast"/>
        <w:rPr>
          <w:rFonts w:ascii="宋体" w:hAnsi="宋体"/>
          <w:b/>
          <w:szCs w:val="21"/>
        </w:rPr>
      </w:pPr>
    </w:p>
    <w:p w14:paraId="7DE60C10">
      <w:pPr>
        <w:spacing w:line="0" w:lineRule="atLeast"/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hint="eastAsia" w:ascii="宋体" w:hAnsi="宋体"/>
          <w:szCs w:val="21"/>
        </w:rPr>
        <w:t>（注：本说明书范本原则上不得删减，如原批准说明书的安全性内容较本范本内容更全面或者更严格的，应保留原批准内容。）</w:t>
      </w:r>
    </w:p>
    <w:p w14:paraId="1AD457AD">
      <w:pPr>
        <w:keepNext/>
        <w:keepLines/>
        <w:spacing w:before="260" w:after="260" w:line="408" w:lineRule="auto"/>
        <w:jc w:val="center"/>
        <w:outlineLvl w:val="1"/>
        <w:rPr>
          <w:rFonts w:hint="eastAsia" w:ascii="宋体" w:hAnsi="宋体" w:eastAsia="宋体" w:cs="宋体"/>
          <w:b/>
          <w:sz w:val="30"/>
          <w:szCs w:val="20"/>
          <w:lang w:bidi="ar"/>
        </w:rPr>
      </w:pPr>
      <w:r>
        <w:rPr>
          <w:rFonts w:hint="eastAsia" w:ascii="宋体" w:hAnsi="宋体" w:eastAsia="宋体" w:cs="宋体"/>
          <w:b/>
          <w:sz w:val="30"/>
          <w:szCs w:val="20"/>
          <w:lang w:bidi="ar"/>
        </w:rPr>
        <w:t>复方大蒜油胶囊说明书</w:t>
      </w:r>
    </w:p>
    <w:p w14:paraId="119D633A">
      <w:pPr>
        <w:spacing w:line="0" w:lineRule="atLeast"/>
        <w:jc w:val="center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请仔细阅读说明书并按说明使用或在药师指导下购买和使用</w:t>
      </w:r>
    </w:p>
    <w:p w14:paraId="3768CCA8">
      <w:pPr>
        <w:spacing w:line="0" w:lineRule="atLeast"/>
        <w:jc w:val="center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本品仅为高脂血症的辅助治疗药品，不可替代治疗用药品</w:t>
      </w:r>
    </w:p>
    <w:p w14:paraId="0A7197F1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[药品名称]</w:t>
      </w:r>
    </w:p>
    <w:p w14:paraId="7383042D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通用名称：复方大蒜油胶囊</w:t>
      </w:r>
    </w:p>
    <w:p w14:paraId="4AF12D86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汉语拼音：</w:t>
      </w:r>
    </w:p>
    <w:p w14:paraId="5AB51CB6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[成份]</w:t>
      </w:r>
    </w:p>
    <w:p w14:paraId="4C474423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[性状]</w:t>
      </w:r>
    </w:p>
    <w:p w14:paraId="30ADEA68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[功能主治]</w:t>
      </w:r>
      <w:r>
        <w:rPr>
          <w:rFonts w:hint="eastAsia" w:ascii="宋体" w:hAnsi="宋体"/>
          <w:szCs w:val="21"/>
        </w:rPr>
        <w:t>行瘀祛浊。用于高脂血症的辅助治疗。</w:t>
      </w:r>
    </w:p>
    <w:p w14:paraId="51935A17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[规格]每粒装0.3克</w:t>
      </w:r>
    </w:p>
    <w:p w14:paraId="65C7234B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[用法用量]口服。一次0.3克，一日2次，饭后服用。</w:t>
      </w:r>
    </w:p>
    <w:p w14:paraId="4F03D663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[不良反应]监测数据显示，本品可见以下不良反应报告：腹痛、反酸、烧心、恶心、呕吐、胃痛、腹胀、口腔溃疡、头晕等。</w:t>
      </w:r>
    </w:p>
    <w:p w14:paraId="32751585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[禁忌]对本品及所含成份过敏者禁用。</w:t>
      </w:r>
    </w:p>
    <w:p w14:paraId="4C68B229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[注意事项]</w:t>
      </w:r>
    </w:p>
    <w:p w14:paraId="280E0981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1.忌烟酒及辛辣、油腻食物。</w:t>
      </w:r>
    </w:p>
    <w:p w14:paraId="22D35388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2.本品仅为高血脂症的辅助治疗药品，应当在医生确诊后使用，不可替代治疗用药品。</w:t>
      </w:r>
    </w:p>
    <w:p w14:paraId="06311907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3.第一次使用本品前应当咨询医生，治疗期间应当定期到医院进行检查。</w:t>
      </w:r>
    </w:p>
    <w:p w14:paraId="77983AF5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4.按照用法用量服用，长期服用应当向医师咨询。</w:t>
      </w:r>
    </w:p>
    <w:p w14:paraId="25A9305C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5.阴虚火旺者慎用。</w:t>
      </w:r>
    </w:p>
    <w:p w14:paraId="5C696DB5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6.消化道溃疡、眼部疾患、甲状腺功能亢进者慎用。</w:t>
      </w:r>
    </w:p>
    <w:p w14:paraId="306E6588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7.高血压、心脏病、肝病、糖尿病、肾病等患者应在医师指导下服用。</w:t>
      </w:r>
    </w:p>
    <w:p w14:paraId="0E15D6C6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8.孕妇、哺乳期妇女及年老体弱者应在医师指导下服用。</w:t>
      </w:r>
    </w:p>
    <w:p w14:paraId="077DA0B6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9.服药期间如出现其他不适应到医院就诊。</w:t>
      </w:r>
    </w:p>
    <w:p w14:paraId="48B6CA4D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10.服药4周症状无缓解，或症状加重，或出现新的严重症状，应当停药并去医院就诊。</w:t>
      </w:r>
    </w:p>
    <w:p w14:paraId="4CB0C1F2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11.过敏体质者慎用。</w:t>
      </w:r>
    </w:p>
    <w:p w14:paraId="710240E3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12.本品性状发生改变时禁止使用。</w:t>
      </w:r>
    </w:p>
    <w:p w14:paraId="21943C75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13.请将本品放在儿童不能接触的地方。</w:t>
      </w:r>
    </w:p>
    <w:p w14:paraId="43625616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14.如正在使用其他药品，使用本品前请咨询医师或药师。</w:t>
      </w:r>
    </w:p>
    <w:p w14:paraId="4A16B0CD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[药物相互作用]如与其他药物同时使用可能会发生药物相互作用，详情请咨询医师或药师。</w:t>
      </w:r>
    </w:p>
    <w:p w14:paraId="3F29A1FC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[贮藏] </w:t>
      </w:r>
    </w:p>
    <w:p w14:paraId="2C39E5D1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[包装]</w:t>
      </w:r>
    </w:p>
    <w:p w14:paraId="33DE857F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[有效期]</w:t>
      </w:r>
    </w:p>
    <w:p w14:paraId="34B76FAA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[执行标准]</w:t>
      </w:r>
    </w:p>
    <w:p w14:paraId="2E06AD64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[批准文号]</w:t>
      </w:r>
    </w:p>
    <w:p w14:paraId="635D3E47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[说明书修订日期]</w:t>
      </w:r>
    </w:p>
    <w:p w14:paraId="73F1C3B5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[药品上市许可持有人]</w:t>
      </w:r>
    </w:p>
    <w:p w14:paraId="27A6A9EC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名    称： </w:t>
      </w:r>
    </w:p>
    <w:p w14:paraId="473A2F69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注册地址：</w:t>
      </w:r>
    </w:p>
    <w:p w14:paraId="52BA469D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邮政编码：</w:t>
      </w:r>
    </w:p>
    <w:p w14:paraId="18F1A474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电话号码：</w:t>
      </w:r>
    </w:p>
    <w:p w14:paraId="7950765F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传真号码：</w:t>
      </w:r>
    </w:p>
    <w:p w14:paraId="66E0C29A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网    址：</w:t>
      </w:r>
    </w:p>
    <w:p w14:paraId="3386A4E1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[生产企业]</w:t>
      </w:r>
    </w:p>
    <w:p w14:paraId="6FC34E8B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企业名称： </w:t>
      </w:r>
    </w:p>
    <w:p w14:paraId="073F2BFF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生产地址：</w:t>
      </w:r>
    </w:p>
    <w:p w14:paraId="7AE72B16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如有问题可与药品上市许可持有人联系。</w:t>
      </w:r>
    </w:p>
    <w:p w14:paraId="2EE40630">
      <w:pPr>
        <w:spacing w:line="0" w:lineRule="atLeast"/>
        <w:rPr>
          <w:rFonts w:ascii="宋体" w:hAnsi="宋体"/>
          <w:szCs w:val="21"/>
        </w:rPr>
      </w:pPr>
    </w:p>
    <w:p w14:paraId="30BFE320">
      <w:pPr>
        <w:rPr>
          <w:color w:val="000000"/>
          <w:kern w:val="0"/>
          <w:lang w:bidi="ar"/>
        </w:rPr>
      </w:pPr>
      <w:r>
        <w:rPr>
          <w:color w:val="000000"/>
          <w:kern w:val="0"/>
          <w:lang w:bidi="ar"/>
        </w:rPr>
        <w:t>（注：本说明书范本原则上不得删减，如原批准说明书的安全性内容较本范本内容更全面</w:t>
      </w:r>
      <w:r>
        <w:rPr>
          <w:rFonts w:hint="eastAsia"/>
          <w:color w:val="000000"/>
          <w:kern w:val="0"/>
          <w:lang w:bidi="ar"/>
        </w:rPr>
        <w:t>或者</w:t>
      </w:r>
      <w:r>
        <w:rPr>
          <w:color w:val="000000"/>
          <w:kern w:val="0"/>
          <w:lang w:bidi="ar"/>
        </w:rPr>
        <w:t>更严格的，应保留原批准内容。）</w:t>
      </w:r>
    </w:p>
    <w:p w14:paraId="010DDC41">
      <w:pPr>
        <w:rPr>
          <w:color w:val="000000"/>
          <w:kern w:val="0"/>
          <w:lang w:bidi="ar"/>
        </w:rPr>
      </w:pPr>
    </w:p>
    <w:p w14:paraId="1096A030">
      <w:pPr>
        <w:rPr>
          <w:color w:val="000000"/>
          <w:kern w:val="0"/>
          <w:lang w:bidi="ar"/>
        </w:rPr>
      </w:pPr>
    </w:p>
    <w:p w14:paraId="7763FB5E">
      <w:pPr>
        <w:rPr>
          <w:color w:val="000000"/>
          <w:kern w:val="0"/>
          <w:lang w:bidi="ar"/>
        </w:rPr>
      </w:pPr>
    </w:p>
    <w:p w14:paraId="12F44420">
      <w:pPr>
        <w:rPr>
          <w:color w:val="000000"/>
          <w:kern w:val="0"/>
          <w:lang w:bidi="ar"/>
        </w:rPr>
      </w:pPr>
    </w:p>
    <w:p w14:paraId="0074ED3C">
      <w:pPr>
        <w:rPr>
          <w:color w:val="000000"/>
          <w:kern w:val="0"/>
          <w:lang w:bidi="ar"/>
        </w:rPr>
      </w:pPr>
    </w:p>
    <w:p w14:paraId="2290D93C">
      <w:pPr>
        <w:rPr>
          <w:color w:val="000000"/>
          <w:kern w:val="0"/>
          <w:lang w:bidi="ar"/>
        </w:rPr>
      </w:pPr>
    </w:p>
    <w:p w14:paraId="598B5AA8">
      <w:pPr>
        <w:rPr>
          <w:color w:val="000000"/>
          <w:kern w:val="0"/>
          <w:lang w:bidi="ar"/>
        </w:rPr>
      </w:pPr>
    </w:p>
    <w:p w14:paraId="45D0CBD1">
      <w:pPr>
        <w:rPr>
          <w:color w:val="000000"/>
          <w:kern w:val="0"/>
          <w:lang w:bidi="ar"/>
        </w:rPr>
      </w:pPr>
    </w:p>
    <w:p w14:paraId="45B27587">
      <w:pPr>
        <w:keepNext/>
        <w:keepLines/>
        <w:spacing w:before="260" w:after="260" w:line="408" w:lineRule="auto"/>
        <w:jc w:val="center"/>
        <w:outlineLvl w:val="1"/>
        <w:rPr>
          <w:rFonts w:hint="eastAsia" w:ascii="宋体" w:hAnsi="宋体" w:eastAsia="宋体" w:cs="宋体"/>
          <w:b/>
          <w:sz w:val="30"/>
          <w:szCs w:val="20"/>
          <w:lang w:bidi="ar"/>
        </w:rPr>
      </w:pPr>
      <w:r>
        <w:rPr>
          <w:color w:val="000000"/>
          <w:kern w:val="0"/>
          <w:lang w:bidi="ar"/>
        </w:rPr>
        <w:br w:type="page"/>
      </w:r>
      <w:r>
        <w:rPr>
          <w:rFonts w:hint="eastAsia" w:ascii="宋体" w:hAnsi="宋体" w:eastAsia="宋体" w:cs="宋体"/>
          <w:b/>
          <w:sz w:val="30"/>
          <w:szCs w:val="20"/>
          <w:lang w:bidi="ar"/>
        </w:rPr>
        <w:t>健胃消食口服液说明书</w:t>
      </w:r>
    </w:p>
    <w:p w14:paraId="1AA2F633">
      <w:pPr>
        <w:spacing w:line="300" w:lineRule="exact"/>
        <w:jc w:val="center"/>
        <w:rPr>
          <w:rFonts w:ascii="宋体" w:hAnsi="宋体"/>
          <w:b/>
        </w:rPr>
      </w:pPr>
      <w:r>
        <w:rPr>
          <w:rFonts w:hint="eastAsia" w:ascii="宋体" w:hAnsi="宋体"/>
          <w:b/>
        </w:rPr>
        <w:t>请仔细阅读说明书并按说明使用或在药师指导下购买和使用</w:t>
      </w:r>
    </w:p>
    <w:p w14:paraId="1DDBD387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药品名称</w:t>
      </w:r>
      <w:r>
        <w:rPr>
          <w:rFonts w:ascii="宋体" w:hAnsi="宋体"/>
          <w:szCs w:val="21"/>
        </w:rPr>
        <w:t>]</w:t>
      </w:r>
    </w:p>
    <w:p w14:paraId="27A1A71C">
      <w:pPr>
        <w:spacing w:line="280" w:lineRule="exact"/>
        <w:rPr>
          <w:szCs w:val="21"/>
        </w:rPr>
      </w:pPr>
      <w:r>
        <w:rPr>
          <w:rFonts w:hint="eastAsia"/>
          <w:szCs w:val="21"/>
        </w:rPr>
        <w:t>通用名称：健胃消食口服液</w:t>
      </w:r>
    </w:p>
    <w:p w14:paraId="43940349">
      <w:pPr>
        <w:spacing w:line="280" w:lineRule="exact"/>
        <w:rPr>
          <w:szCs w:val="21"/>
        </w:rPr>
      </w:pPr>
      <w:r>
        <w:rPr>
          <w:rFonts w:hint="eastAsia"/>
          <w:szCs w:val="21"/>
        </w:rPr>
        <w:t>汉语拼音：</w:t>
      </w:r>
    </w:p>
    <w:p w14:paraId="7D5B7CF6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成份</w:t>
      </w:r>
      <w:r>
        <w:rPr>
          <w:rFonts w:ascii="宋体" w:hAnsi="宋体"/>
          <w:szCs w:val="21"/>
        </w:rPr>
        <w:t>]</w:t>
      </w:r>
    </w:p>
    <w:p w14:paraId="2F04D774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性状</w:t>
      </w:r>
      <w:r>
        <w:rPr>
          <w:rFonts w:ascii="宋体" w:hAnsi="宋体"/>
          <w:szCs w:val="21"/>
        </w:rPr>
        <w:t>]</w:t>
      </w:r>
    </w:p>
    <w:p w14:paraId="3E2F2CE3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功能主治</w:t>
      </w:r>
      <w:r>
        <w:rPr>
          <w:rFonts w:ascii="宋体" w:hAnsi="宋体"/>
          <w:szCs w:val="21"/>
        </w:rPr>
        <w:t>]</w:t>
      </w:r>
      <w:r>
        <w:rPr>
          <w:rFonts w:hint="eastAsia" w:ascii="宋体" w:hAnsi="宋体"/>
          <w:szCs w:val="21"/>
        </w:rPr>
        <w:t>健胃消食。用于脾胃虚弱所致的食积，症见不思饮食，嗳腐酸臭，脘腹胀满；消化不良见上述证候者。</w:t>
      </w:r>
    </w:p>
    <w:p w14:paraId="48EE620B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规格</w:t>
      </w:r>
      <w:r>
        <w:rPr>
          <w:rFonts w:ascii="宋体" w:hAnsi="宋体"/>
          <w:szCs w:val="21"/>
        </w:rPr>
        <w:t>]</w:t>
      </w:r>
      <w:r>
        <w:rPr>
          <w:rFonts w:hint="eastAsia" w:ascii="宋体" w:hAnsi="宋体"/>
          <w:szCs w:val="21"/>
        </w:rPr>
        <w:t>每支装</w:t>
      </w:r>
      <w:r>
        <w:rPr>
          <w:rFonts w:ascii="宋体" w:hAnsi="宋体"/>
          <w:szCs w:val="21"/>
        </w:rPr>
        <w:t>10</w:t>
      </w:r>
      <w:r>
        <w:rPr>
          <w:rFonts w:hint="eastAsia" w:ascii="宋体" w:hAnsi="宋体"/>
          <w:szCs w:val="21"/>
        </w:rPr>
        <w:t>毫升</w:t>
      </w:r>
    </w:p>
    <w:p w14:paraId="12F8A575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用法用量</w:t>
      </w:r>
      <w:r>
        <w:rPr>
          <w:rFonts w:ascii="宋体" w:hAnsi="宋体"/>
          <w:szCs w:val="21"/>
        </w:rPr>
        <w:t>]</w:t>
      </w:r>
      <w:r>
        <w:rPr>
          <w:rFonts w:hint="eastAsia" w:ascii="宋体" w:hAnsi="宋体"/>
          <w:szCs w:val="21"/>
        </w:rPr>
        <w:t>口服。一次</w:t>
      </w:r>
      <w:r>
        <w:rPr>
          <w:rFonts w:ascii="宋体" w:hAnsi="宋体"/>
          <w:szCs w:val="21"/>
        </w:rPr>
        <w:t>10</w:t>
      </w:r>
      <w:r>
        <w:rPr>
          <w:rFonts w:hint="eastAsia" w:ascii="宋体" w:hAnsi="宋体"/>
          <w:szCs w:val="21"/>
        </w:rPr>
        <w:t>毫升（</w:t>
      </w:r>
      <w:r>
        <w:rPr>
          <w:rFonts w:ascii="宋体" w:hAnsi="宋体"/>
          <w:szCs w:val="21"/>
        </w:rPr>
        <w:t>1</w:t>
      </w:r>
      <w:r>
        <w:rPr>
          <w:rFonts w:hint="eastAsia" w:ascii="宋体" w:hAnsi="宋体"/>
          <w:szCs w:val="21"/>
        </w:rPr>
        <w:t>支），一日</w:t>
      </w: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</w:rPr>
        <w:t>次，在餐间或饭后服用。</w:t>
      </w: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</w:rPr>
        <w:t>周为一疗程。</w:t>
      </w:r>
    </w:p>
    <w:p w14:paraId="254F41BD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不良反应</w:t>
      </w:r>
      <w:r>
        <w:rPr>
          <w:rFonts w:ascii="宋体" w:hAnsi="宋体"/>
          <w:szCs w:val="21"/>
        </w:rPr>
        <w:t>]</w:t>
      </w:r>
      <w:r>
        <w:rPr>
          <w:rFonts w:hint="eastAsia" w:ascii="宋体" w:hAnsi="宋体"/>
          <w:szCs w:val="21"/>
        </w:rPr>
        <w:t>监测数据显示，本品可见以下不良反应报告：腹泻、恶心、皮疹、呕吐、腹痛、瘙痒、头晕、心悸、口干、过敏反应等。</w:t>
      </w:r>
    </w:p>
    <w:p w14:paraId="7C9C7F49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[</w:t>
      </w:r>
      <w:r>
        <w:rPr>
          <w:rFonts w:hint="eastAsia" w:ascii="宋体" w:hAnsi="宋体"/>
          <w:b/>
          <w:szCs w:val="21"/>
        </w:rPr>
        <w:t>禁忌</w:t>
      </w:r>
      <w:r>
        <w:rPr>
          <w:rFonts w:ascii="宋体" w:hAnsi="宋体"/>
          <w:b/>
          <w:szCs w:val="21"/>
        </w:rPr>
        <w:t>]</w:t>
      </w:r>
      <w:r>
        <w:rPr>
          <w:rFonts w:hint="eastAsia" w:ascii="宋体" w:hAnsi="宋体"/>
          <w:b/>
          <w:szCs w:val="21"/>
        </w:rPr>
        <w:t>对本品及所含成份过敏者禁用。</w:t>
      </w:r>
    </w:p>
    <w:p w14:paraId="03AB14B0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[</w:t>
      </w:r>
      <w:r>
        <w:rPr>
          <w:rFonts w:hint="eastAsia" w:ascii="宋体" w:hAnsi="宋体"/>
          <w:b/>
          <w:szCs w:val="21"/>
        </w:rPr>
        <w:t>注意事项</w:t>
      </w:r>
      <w:r>
        <w:rPr>
          <w:rFonts w:ascii="宋体" w:hAnsi="宋体"/>
          <w:b/>
          <w:szCs w:val="21"/>
        </w:rPr>
        <w:t>]</w:t>
      </w:r>
    </w:p>
    <w:p w14:paraId="787EA660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bookmarkStart w:id="7" w:name="OLE_LINK8"/>
      <w:r>
        <w:rPr>
          <w:rFonts w:ascii="宋体" w:hAnsi="宋体"/>
          <w:b/>
          <w:szCs w:val="21"/>
        </w:rPr>
        <w:t>.</w:t>
      </w:r>
      <w:bookmarkEnd w:id="7"/>
      <w:r>
        <w:rPr>
          <w:rFonts w:hint="eastAsia" w:ascii="宋体" w:hAnsi="宋体"/>
          <w:b/>
          <w:szCs w:val="21"/>
        </w:rPr>
        <w:t>饮食宜清淡，忌酒及辛辣、生冷、油腻食物。</w:t>
      </w:r>
    </w:p>
    <w:p w14:paraId="73E19450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2.</w:t>
      </w:r>
      <w:r>
        <w:rPr>
          <w:rFonts w:hint="eastAsia" w:ascii="宋体" w:hAnsi="宋体"/>
          <w:b/>
          <w:szCs w:val="21"/>
        </w:rPr>
        <w:t>高血压、心脏病、肝病、糖尿病、肾病等患者应在医师指导下服用。</w:t>
      </w:r>
    </w:p>
    <w:p w14:paraId="3C673704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3.</w:t>
      </w:r>
      <w:r>
        <w:rPr>
          <w:rFonts w:hint="eastAsia" w:ascii="宋体" w:hAnsi="宋体"/>
          <w:b/>
          <w:szCs w:val="21"/>
        </w:rPr>
        <w:t>本品含山楂、麦芽，孕妇及哺乳期妇女慎用。</w:t>
      </w:r>
    </w:p>
    <w:p w14:paraId="77825FC4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4.</w:t>
      </w:r>
      <w:r>
        <w:rPr>
          <w:rFonts w:hint="eastAsia" w:ascii="宋体" w:hAnsi="宋体"/>
          <w:b/>
          <w:szCs w:val="21"/>
        </w:rPr>
        <w:t>服药</w:t>
      </w:r>
      <w:r>
        <w:rPr>
          <w:rFonts w:ascii="宋体" w:hAnsi="宋体"/>
          <w:b/>
          <w:szCs w:val="21"/>
        </w:rPr>
        <w:t>3</w:t>
      </w:r>
      <w:r>
        <w:rPr>
          <w:rFonts w:hint="eastAsia" w:ascii="宋体" w:hAnsi="宋体"/>
          <w:b/>
          <w:szCs w:val="21"/>
        </w:rPr>
        <w:t>天症状无缓解，应去医院就诊。</w:t>
      </w:r>
    </w:p>
    <w:p w14:paraId="0BB6E440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5.</w:t>
      </w:r>
      <w:r>
        <w:rPr>
          <w:rFonts w:hint="eastAsia" w:ascii="宋体" w:hAnsi="宋体"/>
          <w:b/>
          <w:szCs w:val="21"/>
        </w:rPr>
        <w:t>过敏体质者慎用。</w:t>
      </w:r>
    </w:p>
    <w:p w14:paraId="69B37257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6.</w:t>
      </w:r>
      <w:r>
        <w:rPr>
          <w:rFonts w:hint="eastAsia" w:ascii="宋体" w:hAnsi="宋体"/>
          <w:b/>
          <w:szCs w:val="21"/>
        </w:rPr>
        <w:t>本品性状发生改变时禁止使用。</w:t>
      </w:r>
    </w:p>
    <w:p w14:paraId="61C2C348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7.</w:t>
      </w:r>
      <w:r>
        <w:rPr>
          <w:rFonts w:hint="eastAsia" w:ascii="宋体" w:hAnsi="宋体"/>
          <w:b/>
          <w:szCs w:val="21"/>
        </w:rPr>
        <w:t>请将本品放在儿童不能接触的地方。</w:t>
      </w:r>
    </w:p>
    <w:p w14:paraId="238146AD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8.</w:t>
      </w:r>
      <w:r>
        <w:rPr>
          <w:rFonts w:hint="eastAsia" w:ascii="宋体" w:hAnsi="宋体"/>
          <w:b/>
          <w:szCs w:val="21"/>
        </w:rPr>
        <w:t>如正在使用其他药品，使用本品前请咨询医师或药师。</w:t>
      </w:r>
    </w:p>
    <w:p w14:paraId="40C11654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药物相互作用</w:t>
      </w:r>
      <w:r>
        <w:rPr>
          <w:rFonts w:ascii="宋体" w:hAnsi="宋体"/>
          <w:szCs w:val="21"/>
        </w:rPr>
        <w:t>]</w:t>
      </w:r>
      <w:r>
        <w:rPr>
          <w:rFonts w:hint="eastAsia" w:ascii="宋体" w:hAnsi="宋体"/>
          <w:szCs w:val="21"/>
        </w:rPr>
        <w:t>如与其他药物同时使用可能会发生药物相互作用，详情请咨询医师或药师</w:t>
      </w:r>
    </w:p>
    <w:p w14:paraId="1D605280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贮藏</w:t>
      </w:r>
      <w:r>
        <w:rPr>
          <w:rFonts w:ascii="宋体" w:hAnsi="宋体"/>
          <w:szCs w:val="21"/>
        </w:rPr>
        <w:t xml:space="preserve">] </w:t>
      </w:r>
    </w:p>
    <w:p w14:paraId="7C53FCC2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包装</w:t>
      </w:r>
      <w:r>
        <w:rPr>
          <w:rFonts w:ascii="宋体" w:hAnsi="宋体"/>
          <w:szCs w:val="21"/>
        </w:rPr>
        <w:t>]</w:t>
      </w:r>
    </w:p>
    <w:p w14:paraId="71DBFB1B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有效期</w:t>
      </w:r>
      <w:r>
        <w:rPr>
          <w:rFonts w:ascii="宋体" w:hAnsi="宋体"/>
          <w:szCs w:val="21"/>
        </w:rPr>
        <w:t>]</w:t>
      </w:r>
    </w:p>
    <w:p w14:paraId="566735CA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执行标准</w:t>
      </w:r>
      <w:r>
        <w:rPr>
          <w:rFonts w:ascii="宋体" w:hAnsi="宋体"/>
          <w:szCs w:val="21"/>
        </w:rPr>
        <w:t>]</w:t>
      </w:r>
    </w:p>
    <w:p w14:paraId="49E41BF2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批准文号</w:t>
      </w:r>
      <w:r>
        <w:rPr>
          <w:rFonts w:ascii="宋体" w:hAnsi="宋体"/>
          <w:szCs w:val="21"/>
        </w:rPr>
        <w:t>]</w:t>
      </w:r>
    </w:p>
    <w:p w14:paraId="3F065ABD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说明书修订日期</w:t>
      </w:r>
      <w:r>
        <w:rPr>
          <w:rFonts w:ascii="宋体" w:hAnsi="宋体"/>
          <w:szCs w:val="21"/>
        </w:rPr>
        <w:t>]</w:t>
      </w:r>
    </w:p>
    <w:p w14:paraId="7E5EA956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药品上市许可持有人</w:t>
      </w:r>
      <w:r>
        <w:rPr>
          <w:rFonts w:ascii="宋体" w:hAnsi="宋体"/>
          <w:szCs w:val="21"/>
        </w:rPr>
        <w:t>]</w:t>
      </w:r>
    </w:p>
    <w:p w14:paraId="3FBAA859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名</w:t>
      </w:r>
      <w:r>
        <w:rPr>
          <w:rFonts w:ascii="宋体" w:hAnsi="宋体"/>
          <w:szCs w:val="21"/>
        </w:rPr>
        <w:t xml:space="preserve">   </w:t>
      </w:r>
      <w:r>
        <w:rPr>
          <w:rFonts w:hint="eastAsia" w:ascii="宋体" w:hAnsi="宋体"/>
          <w:szCs w:val="21"/>
        </w:rPr>
        <w:t>称：</w:t>
      </w:r>
      <w:r>
        <w:rPr>
          <w:rFonts w:ascii="宋体" w:hAnsi="宋体"/>
          <w:szCs w:val="21"/>
        </w:rPr>
        <w:t xml:space="preserve"> </w:t>
      </w:r>
    </w:p>
    <w:p w14:paraId="21A0DB55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注册地址：</w:t>
      </w:r>
    </w:p>
    <w:p w14:paraId="32B127E4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邮政编码：</w:t>
      </w:r>
    </w:p>
    <w:p w14:paraId="2BDBB23C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电话号码：</w:t>
      </w:r>
    </w:p>
    <w:p w14:paraId="375E61AA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传真号码：</w:t>
      </w:r>
    </w:p>
    <w:p w14:paraId="72491985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网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址：</w:t>
      </w:r>
    </w:p>
    <w:p w14:paraId="61639FD1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生产企业</w:t>
      </w:r>
      <w:r>
        <w:rPr>
          <w:rFonts w:ascii="宋体" w:hAnsi="宋体"/>
          <w:szCs w:val="21"/>
        </w:rPr>
        <w:t>]</w:t>
      </w:r>
    </w:p>
    <w:p w14:paraId="30042246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企业名称：</w:t>
      </w:r>
      <w:r>
        <w:rPr>
          <w:rFonts w:ascii="宋体" w:hAnsi="宋体"/>
          <w:szCs w:val="21"/>
        </w:rPr>
        <w:t xml:space="preserve"> </w:t>
      </w:r>
    </w:p>
    <w:p w14:paraId="630120AF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生产地址：</w:t>
      </w:r>
    </w:p>
    <w:p w14:paraId="3AB60776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如有问题可与药品上市许可持有人联系。</w:t>
      </w:r>
    </w:p>
    <w:p w14:paraId="46C95B90">
      <w:pPr>
        <w:rPr>
          <w:b/>
          <w:bCs/>
        </w:rPr>
      </w:pPr>
    </w:p>
    <w:p w14:paraId="0980E2A7">
      <w:pPr>
        <w:rPr>
          <w:rFonts w:hint="eastAsia" w:ascii="Calibri" w:hAnsi="Calibri"/>
          <w:color w:val="000000"/>
          <w:szCs w:val="21"/>
        </w:rPr>
      </w:pPr>
      <w:r>
        <w:rPr>
          <w:rFonts w:hint="eastAsia" w:ascii="Calibri" w:hAnsi="Calibri"/>
          <w:color w:val="000000"/>
          <w:szCs w:val="21"/>
        </w:rPr>
        <w:t>（注：本说明书范本原则上不得删减，如原批准说明书的安全性内容较本范本内容更全面或者更严格的，应保留原批准内容。）</w:t>
      </w:r>
    </w:p>
    <w:p w14:paraId="79C3A723">
      <w:pPr>
        <w:rPr>
          <w:rFonts w:hint="eastAsia" w:ascii="Calibri" w:hAnsi="Calibri"/>
          <w:color w:val="000000"/>
          <w:szCs w:val="21"/>
        </w:rPr>
      </w:pPr>
    </w:p>
    <w:p w14:paraId="309D4338">
      <w:pPr>
        <w:keepNext/>
        <w:keepLines/>
        <w:spacing w:before="260" w:after="260" w:line="408" w:lineRule="auto"/>
        <w:jc w:val="center"/>
        <w:outlineLvl w:val="1"/>
        <w:rPr>
          <w:rFonts w:ascii="黑体" w:hAnsi="黑体" w:eastAsia="黑体"/>
          <w:sz w:val="32"/>
          <w:szCs w:val="32"/>
        </w:rPr>
      </w:pPr>
      <w:r>
        <w:rPr>
          <w:rFonts w:hint="eastAsia" w:ascii="宋体" w:hAnsi="宋体" w:cs="宋体"/>
          <w:b/>
          <w:sz w:val="30"/>
          <w:szCs w:val="20"/>
        </w:rPr>
        <w:t>灵精胶囊说明书</w:t>
      </w:r>
    </w:p>
    <w:p w14:paraId="60C2301C">
      <w:pPr>
        <w:spacing w:line="300" w:lineRule="exact"/>
        <w:jc w:val="center"/>
        <w:rPr>
          <w:rFonts w:ascii="宋体" w:hAnsi="宋体"/>
          <w:b/>
        </w:rPr>
      </w:pPr>
      <w:r>
        <w:rPr>
          <w:rFonts w:hint="eastAsia" w:ascii="宋体" w:hAnsi="宋体"/>
          <w:b/>
        </w:rPr>
        <w:t>请仔细阅读说明书并按说明使用或在药师指导下购买和使用</w:t>
      </w:r>
    </w:p>
    <w:p w14:paraId="24A1E461">
      <w:pPr>
        <w:spacing w:line="300" w:lineRule="exact"/>
        <w:jc w:val="center"/>
        <w:rPr>
          <w:rFonts w:ascii="宋体" w:hAnsi="宋体"/>
          <w:b/>
        </w:rPr>
      </w:pPr>
      <w:r>
        <w:rPr>
          <w:rFonts w:hint="eastAsia" w:ascii="宋体" w:hAnsi="宋体"/>
          <w:b/>
        </w:rPr>
        <w:t>本品仅为高脂血症的辅助治疗药品，不可替代治疗用药品</w:t>
      </w:r>
    </w:p>
    <w:p w14:paraId="5B5ADE12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药品名称</w:t>
      </w:r>
      <w:r>
        <w:rPr>
          <w:rFonts w:ascii="宋体" w:hAnsi="宋体"/>
          <w:szCs w:val="21"/>
        </w:rPr>
        <w:t>]</w:t>
      </w:r>
    </w:p>
    <w:p w14:paraId="0854908E">
      <w:pPr>
        <w:spacing w:line="280" w:lineRule="exact"/>
        <w:rPr>
          <w:szCs w:val="21"/>
        </w:rPr>
      </w:pPr>
      <w:r>
        <w:rPr>
          <w:rFonts w:hint="eastAsia"/>
          <w:szCs w:val="21"/>
        </w:rPr>
        <w:t>通用名称：灵精胶囊</w:t>
      </w:r>
    </w:p>
    <w:p w14:paraId="05F466BE">
      <w:pPr>
        <w:spacing w:line="280" w:lineRule="exact"/>
        <w:rPr>
          <w:szCs w:val="21"/>
        </w:rPr>
      </w:pPr>
      <w:r>
        <w:rPr>
          <w:rFonts w:hint="eastAsia"/>
          <w:szCs w:val="21"/>
        </w:rPr>
        <w:t>汉语拼音：</w:t>
      </w:r>
    </w:p>
    <w:p w14:paraId="7C847D4A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成份</w:t>
      </w:r>
      <w:r>
        <w:rPr>
          <w:rFonts w:ascii="宋体" w:hAnsi="宋体"/>
          <w:szCs w:val="21"/>
        </w:rPr>
        <w:t>]</w:t>
      </w:r>
    </w:p>
    <w:p w14:paraId="7E4512C1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性状</w:t>
      </w:r>
      <w:r>
        <w:rPr>
          <w:rFonts w:ascii="宋体" w:hAnsi="宋体"/>
          <w:szCs w:val="21"/>
        </w:rPr>
        <w:t>]</w:t>
      </w:r>
    </w:p>
    <w:p w14:paraId="68F66D81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功能主治</w:t>
      </w:r>
      <w:r>
        <w:rPr>
          <w:rFonts w:ascii="宋体" w:hAnsi="宋体"/>
          <w:szCs w:val="21"/>
        </w:rPr>
        <w:t>]</w:t>
      </w:r>
      <w:r>
        <w:rPr>
          <w:rFonts w:hint="eastAsia" w:ascii="宋体" w:hAnsi="宋体"/>
          <w:szCs w:val="21"/>
        </w:rPr>
        <w:t>健脾益肾，化痰祛瘀。用于脾肾两虚，瘀浊阻滞型高脂血症的辅助治疗。</w:t>
      </w:r>
    </w:p>
    <w:p w14:paraId="745D4392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[规格]每粒装0.4克（相当于饮片0.4克）</w:t>
      </w:r>
    </w:p>
    <w:p w14:paraId="261CD5BA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[用法用量]口服，一次5粒，一日3次。四周为一个疗程。</w:t>
      </w:r>
    </w:p>
    <w:p w14:paraId="2C0D4C93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[不良反应]监测数据显示，本品可见以下不良反应报告：腹泻、腹痛、呕吐等。</w:t>
      </w:r>
    </w:p>
    <w:p w14:paraId="2654E4C6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[禁忌]对本品及所含成份过敏者禁用。</w:t>
      </w:r>
    </w:p>
    <w:p w14:paraId="4A75919B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[注意事项]</w:t>
      </w:r>
    </w:p>
    <w:p w14:paraId="449D0693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1.</w:t>
      </w:r>
      <w:r>
        <w:rPr>
          <w:rFonts w:hint="eastAsia" w:ascii="宋体" w:hAnsi="宋体"/>
          <w:b/>
          <w:szCs w:val="21"/>
        </w:rPr>
        <w:t>忌烟酒及辛辣、生冷、油腻食物。</w:t>
      </w:r>
    </w:p>
    <w:p w14:paraId="22495B4F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.本品仅为高脂血症的辅助治疗药品，应当在医生确诊后使用，不可替代治疗用药品。</w:t>
      </w:r>
    </w:p>
    <w:p w14:paraId="5B5E950A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3</w:t>
      </w:r>
      <w:r>
        <w:rPr>
          <w:rFonts w:hint="eastAsia" w:ascii="宋体" w:hAnsi="宋体"/>
          <w:b/>
          <w:szCs w:val="21"/>
        </w:rPr>
        <w:t>.第一次使用本品前应当咨询医生，治疗期间应当定期到医院进行检查。</w:t>
      </w:r>
    </w:p>
    <w:p w14:paraId="05DDC433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4</w:t>
      </w:r>
      <w:r>
        <w:rPr>
          <w:rFonts w:hint="eastAsia" w:ascii="宋体" w:hAnsi="宋体"/>
          <w:b/>
          <w:szCs w:val="21"/>
        </w:rPr>
        <w:t>.腹泻便溏者慎用，如确需服用，应在医师指导下服用。</w:t>
      </w:r>
    </w:p>
    <w:p w14:paraId="1E61BCEF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5</w:t>
      </w:r>
      <w:r>
        <w:rPr>
          <w:rFonts w:hint="eastAsia" w:ascii="宋体" w:hAnsi="宋体"/>
          <w:b/>
          <w:szCs w:val="21"/>
        </w:rPr>
        <w:t>.按照用法用量服用，长期服用应当向医师咨询。</w:t>
      </w:r>
    </w:p>
    <w:p w14:paraId="12919E06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6</w:t>
      </w:r>
      <w:r>
        <w:rPr>
          <w:rFonts w:hint="eastAsia" w:ascii="宋体" w:hAnsi="宋体"/>
          <w:b/>
          <w:szCs w:val="21"/>
        </w:rPr>
        <w:t>.高血压、心脏病、肝病、糖尿病、肾病等患者应在医师指导下服用。</w:t>
      </w:r>
    </w:p>
    <w:p w14:paraId="7CDD9A80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7</w:t>
      </w:r>
      <w:r>
        <w:rPr>
          <w:rFonts w:hint="eastAsia" w:ascii="宋体" w:hAnsi="宋体"/>
          <w:b/>
          <w:szCs w:val="21"/>
        </w:rPr>
        <w:t>.年老体弱者应当在医师指导下服用。</w:t>
      </w:r>
    </w:p>
    <w:p w14:paraId="3637EBBF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8</w:t>
      </w:r>
      <w:r>
        <w:rPr>
          <w:rFonts w:hint="eastAsia" w:ascii="宋体" w:hAnsi="宋体"/>
          <w:b/>
          <w:szCs w:val="21"/>
        </w:rPr>
        <w:t>.服药期间如出现其他不适应到医院就诊。</w:t>
      </w:r>
    </w:p>
    <w:p w14:paraId="4558C862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9</w:t>
      </w:r>
      <w:r>
        <w:rPr>
          <w:rFonts w:hint="eastAsia" w:ascii="宋体" w:hAnsi="宋体"/>
          <w:b/>
          <w:szCs w:val="21"/>
        </w:rPr>
        <w:t>.服药</w:t>
      </w:r>
      <w:r>
        <w:rPr>
          <w:rFonts w:ascii="宋体" w:hAnsi="宋体"/>
          <w:b/>
          <w:szCs w:val="21"/>
        </w:rPr>
        <w:t>4周症状无改善，或者症状加重，或者出现新的严重症状，应当停药并去医院就诊。</w:t>
      </w:r>
    </w:p>
    <w:p w14:paraId="5B2D4F2C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10</w:t>
      </w:r>
      <w:r>
        <w:rPr>
          <w:rFonts w:hint="eastAsia" w:ascii="宋体" w:hAnsi="宋体"/>
          <w:b/>
          <w:szCs w:val="21"/>
        </w:rPr>
        <w:t>.过敏体质者慎用。</w:t>
      </w:r>
    </w:p>
    <w:p w14:paraId="4B04866C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11</w:t>
      </w:r>
      <w:r>
        <w:rPr>
          <w:rFonts w:hint="eastAsia" w:ascii="宋体" w:hAnsi="宋体"/>
          <w:b/>
          <w:szCs w:val="21"/>
        </w:rPr>
        <w:t>.本品性状发生改变时禁止使用。</w:t>
      </w:r>
    </w:p>
    <w:p w14:paraId="07B4A2EB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12</w:t>
      </w:r>
      <w:r>
        <w:rPr>
          <w:rFonts w:hint="eastAsia" w:ascii="宋体" w:hAnsi="宋体"/>
          <w:b/>
          <w:szCs w:val="21"/>
        </w:rPr>
        <w:t>.请将本品放在儿童不能接触的地方。</w:t>
      </w:r>
    </w:p>
    <w:p w14:paraId="5BE32390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13</w:t>
      </w:r>
      <w:r>
        <w:rPr>
          <w:rFonts w:hint="eastAsia" w:ascii="宋体" w:hAnsi="宋体"/>
          <w:b/>
          <w:szCs w:val="21"/>
        </w:rPr>
        <w:t>.如正在使用其他药品，使用本品前请咨询医师或药师。</w:t>
      </w:r>
    </w:p>
    <w:p w14:paraId="389F77F2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[药物相互作用]如与其他药物同时使用可能会发生药物相互作用，详情请咨询医师或药师。</w:t>
      </w:r>
    </w:p>
    <w:p w14:paraId="5D6D246A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[贮藏]</w:t>
      </w:r>
    </w:p>
    <w:p w14:paraId="549549D3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[包装]</w:t>
      </w:r>
    </w:p>
    <w:p w14:paraId="627DB28F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[有效期]</w:t>
      </w:r>
    </w:p>
    <w:p w14:paraId="36807E8B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[执行标准]</w:t>
      </w:r>
    </w:p>
    <w:p w14:paraId="2A809D9E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[批准文号]</w:t>
      </w:r>
    </w:p>
    <w:p w14:paraId="7630EA40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[说明书修订日期]</w:t>
      </w:r>
    </w:p>
    <w:p w14:paraId="1B7D0943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[药品上市许可持有人]</w:t>
      </w:r>
    </w:p>
    <w:p w14:paraId="1A533131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名    称： </w:t>
      </w:r>
    </w:p>
    <w:p w14:paraId="30C6F71E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注册地址：</w:t>
      </w:r>
    </w:p>
    <w:p w14:paraId="4D128664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邮政编码：</w:t>
      </w:r>
    </w:p>
    <w:p w14:paraId="6987E7DA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电话号码：</w:t>
      </w:r>
    </w:p>
    <w:p w14:paraId="4DC1AAF1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传真号码：</w:t>
      </w:r>
    </w:p>
    <w:p w14:paraId="60B06087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网    址：</w:t>
      </w:r>
    </w:p>
    <w:p w14:paraId="08ADB23D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[生产企业]</w:t>
      </w:r>
    </w:p>
    <w:p w14:paraId="33680911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企业名称： </w:t>
      </w:r>
    </w:p>
    <w:p w14:paraId="242FF482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生产地址：</w:t>
      </w:r>
    </w:p>
    <w:p w14:paraId="6AAF02F2">
      <w:pPr>
        <w:spacing w:line="0" w:lineRule="atLeast"/>
        <w:rPr>
          <w:b/>
          <w:bCs/>
        </w:rPr>
      </w:pPr>
      <w:r>
        <w:rPr>
          <w:rFonts w:hint="eastAsia" w:ascii="宋体" w:hAnsi="宋体"/>
          <w:b/>
          <w:szCs w:val="21"/>
        </w:rPr>
        <w:t>如有问题可与药品上市许可持有人联系。</w:t>
      </w:r>
    </w:p>
    <w:p w14:paraId="506D088C">
      <w:pPr>
        <w:rPr>
          <w:rFonts w:ascii="Calibri" w:hAnsi="Calibri"/>
          <w:color w:val="000000"/>
          <w:szCs w:val="21"/>
        </w:rPr>
      </w:pPr>
      <w:r>
        <w:rPr>
          <w:rFonts w:hint="eastAsia" w:ascii="Calibri" w:hAnsi="Calibri"/>
          <w:color w:val="000000"/>
          <w:szCs w:val="21"/>
        </w:rPr>
        <w:t>（注：本说明书范本原则上不得删减，如原批准说明书的安全性内容较本范本内容更全面或者更严格的，应保留原批准内容。）</w:t>
      </w:r>
    </w:p>
    <w:p w14:paraId="377CA1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670DEA"/>
    <w:rsid w:val="38670DEA"/>
    <w:rsid w:val="5D55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6686</Words>
  <Characters>6847</Characters>
  <Lines>0</Lines>
  <Paragraphs>0</Paragraphs>
  <TotalTime>0</TotalTime>
  <ScaleCrop>false</ScaleCrop>
  <LinksUpToDate>false</LinksUpToDate>
  <CharactersWithSpaces>6971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2026-10-08T09:38:00Z</dcterms:created>
  <dc:creator>YU</dc:creator>
  <cp:lastModifiedBy>YU</cp:lastModifiedBy>
  <dcterms:modified xsi:type="dcterms:W3CDTF">2026-10-08T10:01:54Z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B8176036373F4BAB859240869BE3A477_11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